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Año lectivo 2016: Carrera de Ciencia Política – Año lectivo 2016 – Primer cuatrimestre</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Programa de La primera década peronista</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a. Denominación de la asignatura:</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La primera década peronista</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b. Tipo de asignatura</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Optativa</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c. Carga horaria:</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La carga horaria de la materia es de 4 horas semanales lunes y jueves 21 a 23 horas</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d. Profesores a cargo:</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Titulares: Lic. Facundo Alvarez y Lic. Juan Pablo Kryskowski</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Ayudante: Lic. Mariano Fernández Reddel</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e. Equipo de trabajo:</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El equipo de trabajo permanente está compuesto por tres personas. Dos docentes a cargo de las clases teórico-prácticas de cada unidad temática, la evaluación de las instancias de evaluación, avances monográficos y la monografía final. Y un ayudante que coordinara el trabajo de los textos y coordinara con los estudiantes el desarrollo para la elaboración de la monografía final. </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Lic. Facundo Alvarez</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Lic. Juan Pablo Kryskowski</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Lic. Mariano Fernández Reddel</w:t>
      </w:r>
    </w:p>
    <w:p w:rsidR="00A47A5B" w:rsidRPr="00A47A5B" w:rsidRDefault="00A47A5B" w:rsidP="00A47A5B">
      <w:pPr>
        <w:jc w:val="both"/>
        <w:rPr>
          <w:rFonts w:ascii="Arial" w:eastAsia="Times New Roman" w:hAnsi="Arial" w:cs="Arial"/>
          <w:b/>
          <w:bCs/>
          <w:sz w:val="20"/>
          <w:szCs w:val="20"/>
          <w:lang w:val="es-ES" w:eastAsia="es-ES"/>
        </w:rPr>
      </w:pP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 xml:space="preserve">g. Fundamentación </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La propuesta de contar con una materia optativa dedicada al tema específico del peronismo en su primera etapa, el denominado peronismo clásico, se justifica en lo que entendemos fue el inicio de un profundo proceso de transformaciones, con impacto en la conformación política, en la configuración social y cultural y en la estructura económica del país.</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La centralidad de la cuestión del peronismo en la escena nacional no ha cedido terreno desde su aparición en el escenario político hace casi siete décadas y el interés específico en su primera etapa, la que nace con las acciones previas al gobierno electo en 1946 y se cierra con el golpe de Estado de 1955, tiene que ver con todo lo que tuvo de fundacional en diversos aspectos. </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La dimensión histórica de lo que fue el proceso de aparición y consolidación del peronismo como actor político fundamental en la escena nacional es una cuestión central de la historia contemporánea nacional, así como su relación con otros factores de relevancia en lo político, social y económico, es otra de las cuestiones que le dan relevancia al estudio del período</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lastRenderedPageBreak/>
        <w:t>Por último, la importancia del rol estatal en apoyo al desenvolvimiento de las fuerzas productivas de la sociedad es otra de las cuestiones centrales del período a analizar: la planificación y las políticas públicas deben necesariamente incluirse en un estudio de esta etapa de la historia argentina</w:t>
      </w:r>
    </w:p>
    <w:p w:rsidR="00A47A5B" w:rsidRPr="00A47A5B" w:rsidRDefault="00A47A5B" w:rsidP="00A47A5B">
      <w:pPr>
        <w:jc w:val="both"/>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t>1. Objetivos.</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h. Objetivos generales:</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El objetivo general de la materia es analizar el surgimiento del peronismo como fuerza política y el papel de la figura de Perón y sus dos primeros gobiernos en su matriz originaria, centralizando en el análisis de la conformación del movimiento peronista como base para su proyecto político; en el estudio de la relación con los actores políticos, sociales y económicos con sus períodos de alianzas y enfrentamientos y considerando especialmente la relevancia de las políticas públicas que se planificaron y realizaron en cuestiones centrales como la salud, la educación y la vivienda, buscando comprender el impacto de dichas políticas en el nivel de vida de la población así como las posibles modificaciones en las pautas sociales y culturales de la población. Para alcanzar estos objetivos es importante contar con una bibliografía amplia y diversa en su visión del fenómeno de estudio.</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Arial" w:eastAsia="Times New Roman" w:hAnsi="Arial" w:cs="Arial"/>
          <w:b/>
          <w:bCs/>
          <w:sz w:val="20"/>
          <w:szCs w:val="20"/>
          <w:lang w:val="es-ES" w:eastAsia="es-ES"/>
        </w:rPr>
        <w:t>i. Objetivos específicos</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Comprender el contexto argentino e internacional a mediados de la década de 1940.</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Conocer la estructura social argentina preperonista.</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Estudiar la significación histórica del 17 de octubre de 1945 y el camino al triunfo electoral.</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Entender la formación del peronismo como movimiento político.</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Analizar las bases de la ideología peronista.</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Conocer las relaciones con otras expresiones políticas y actores sociales gravitantes.</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Estudiar el impacto de los cambios generados en la estructura socio-económica.</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Valorar el impacto de las políticas estatales en las pautas socio-culturales.</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Conocer las características de la iconografía peronista.</w:t>
      </w:r>
    </w:p>
    <w:p w:rsidR="00A47A5B" w:rsidRPr="00A47A5B" w:rsidRDefault="00A47A5B" w:rsidP="00A47A5B">
      <w:pPr>
        <w:jc w:val="both"/>
        <w:rPr>
          <w:rFonts w:ascii="Calibri" w:eastAsia="Times New Roman" w:hAnsi="Calibri" w:cs="Calibri"/>
          <w:b/>
          <w:bCs/>
          <w:lang w:val="es-ES" w:eastAsia="es-ES"/>
        </w:rPr>
      </w:pPr>
    </w:p>
    <w:p w:rsidR="00A47A5B" w:rsidRPr="00A47A5B" w:rsidRDefault="00A47A5B" w:rsidP="00A47A5B">
      <w:pPr>
        <w:jc w:val="both"/>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t xml:space="preserve">2. Contenidos Temáticos. </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1. </w:t>
      </w:r>
      <w:r w:rsidRPr="00A47A5B">
        <w:rPr>
          <w:rFonts w:ascii="Arial" w:eastAsia="Times New Roman" w:hAnsi="Arial" w:cs="Arial"/>
          <w:b/>
          <w:bCs/>
          <w:sz w:val="20"/>
          <w:szCs w:val="20"/>
          <w:lang w:val="es-ES" w:eastAsia="es-ES"/>
        </w:rPr>
        <w:t>LAS INTERPRETACIONES SOBRE EL PERONISMO. NORMALIZACIÓN Y NOVEDADES. EL FACTOR PERÓN</w:t>
      </w:r>
    </w:p>
    <w:p w:rsidR="00A47A5B" w:rsidRPr="00A47A5B" w:rsidRDefault="00A47A5B" w:rsidP="00A47A5B">
      <w:pPr>
        <w:jc w:val="both"/>
        <w:rPr>
          <w:rFonts w:ascii="Arial" w:eastAsia="Times New Roman" w:hAnsi="Arial" w:cs="Arial"/>
          <w:bCs/>
          <w:sz w:val="20"/>
          <w:szCs w:val="20"/>
          <w:lang w:val="es-ES" w:eastAsia="es-ES"/>
        </w:rPr>
      </w:pPr>
      <w:r w:rsidRPr="00A47A5B">
        <w:rPr>
          <w:rFonts w:ascii="Arial" w:eastAsia="Times New Roman" w:hAnsi="Arial" w:cs="Arial"/>
          <w:bCs/>
          <w:sz w:val="20"/>
          <w:szCs w:val="20"/>
          <w:lang w:val="es-ES" w:eastAsia="es-ES"/>
        </w:rPr>
        <w:t>Las interpretaciones sobre el peronismo. La etapa fundacional: miradas propias y ajenas durante la primera década. La primera historiografía: el predominio de la impugnación. Las visiones sobre el rol de Perón. La revisión de la lectura del peronismo como patología. La normalización en los estudios sobre el movimiento. Las nuevas indagaciones</w:t>
      </w:r>
    </w:p>
    <w:p w:rsidR="00A47A5B" w:rsidRPr="00A47A5B" w:rsidRDefault="00A47A5B" w:rsidP="00A47A5B">
      <w:pPr>
        <w:jc w:val="both"/>
        <w:rPr>
          <w:rFonts w:ascii="Calibri" w:eastAsia="Times New Roman" w:hAnsi="Calibri" w:cs="Calibri"/>
          <w:b/>
          <w:bCs/>
          <w:sz w:val="28"/>
          <w:szCs w:val="28"/>
          <w:lang w:val="es-ES" w:eastAsia="es-ES"/>
        </w:rPr>
      </w:pPr>
    </w:p>
    <w:p w:rsidR="00A47A5B" w:rsidRPr="00A47A5B" w:rsidRDefault="00A47A5B" w:rsidP="00A47A5B">
      <w:pPr>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2. </w:t>
      </w:r>
      <w:r w:rsidRPr="00A47A5B">
        <w:rPr>
          <w:rFonts w:ascii="Arial" w:eastAsia="Times New Roman" w:hAnsi="Arial" w:cs="Arial"/>
          <w:b/>
          <w:bCs/>
          <w:sz w:val="20"/>
          <w:szCs w:val="20"/>
          <w:lang w:val="es-ES" w:eastAsia="es-ES"/>
        </w:rPr>
        <w:t>PERÓN Y LOS SINDICATOS</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La Década Infame: el desprestigio de los partidos tradicionales. Perón y su labor en el gobierno de 1943 a 1945. Las reformas previas al gobierno constitucional. El armado de la oposición a Perón y sus políticas sociales. La aparición pública de la clase trabajadora. La política sindical y las posiciones sindicales.</w:t>
      </w:r>
    </w:p>
    <w:p w:rsidR="00A47A5B" w:rsidRPr="00A47A5B" w:rsidRDefault="00A47A5B" w:rsidP="00A47A5B">
      <w:pPr>
        <w:tabs>
          <w:tab w:val="left" w:pos="8460"/>
        </w:tabs>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3. </w:t>
      </w:r>
      <w:r w:rsidRPr="00A47A5B">
        <w:rPr>
          <w:rFonts w:ascii="Arial" w:eastAsia="Times New Roman" w:hAnsi="Arial" w:cs="Arial"/>
          <w:b/>
          <w:bCs/>
          <w:sz w:val="20"/>
          <w:szCs w:val="20"/>
          <w:lang w:val="es-ES" w:eastAsia="es-ES"/>
        </w:rPr>
        <w:t>LA CONSTRUCCIÓN DEL MOVIMIENTO PERONISTA</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Los apoyos políticos iniciales y la construcción política del peronismo: del PURN al Partido Peronista. Los peronismos provinciales. El peronismo como movimiento político: la vertebración de las tres ramas: política, sindical y femenina. Las tres banderas históricas: independencia económica, soberanía política y justicia social. La oposición y su posicionamiento ante los profundos cambios: ejes de sus discusiones. La segunda línea. La Reforma Constitucional. El impacto del peronismo en el debate cultural e intelectual. El peronismo y la clase media. La relación con la prensa. Las publicaciones del peronismo</w:t>
      </w:r>
    </w:p>
    <w:p w:rsidR="00A47A5B" w:rsidRPr="00A47A5B" w:rsidRDefault="00A47A5B" w:rsidP="00A47A5B">
      <w:pPr>
        <w:tabs>
          <w:tab w:val="left" w:pos="8460"/>
        </w:tabs>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4. </w:t>
      </w:r>
      <w:r w:rsidRPr="00A47A5B">
        <w:rPr>
          <w:rFonts w:ascii="Arial" w:eastAsia="Times New Roman" w:hAnsi="Arial" w:cs="Arial"/>
          <w:b/>
          <w:bCs/>
          <w:sz w:val="20"/>
          <w:szCs w:val="20"/>
          <w:lang w:val="es-ES" w:eastAsia="es-ES"/>
        </w:rPr>
        <w:t>EL ESTADO PERONISTA</w:t>
      </w:r>
    </w:p>
    <w:p w:rsidR="00A47A5B" w:rsidRPr="00A47A5B" w:rsidRDefault="00A47A5B" w:rsidP="00A47A5B">
      <w:pPr>
        <w:tabs>
          <w:tab w:val="left" w:pos="8460"/>
        </w:tabs>
        <w:jc w:val="both"/>
        <w:rPr>
          <w:rFonts w:ascii="Arial" w:eastAsia="Times New Roman" w:hAnsi="Arial" w:cs="Arial"/>
          <w:color w:val="FF0000"/>
          <w:sz w:val="20"/>
          <w:szCs w:val="20"/>
          <w:lang w:val="es-ES" w:eastAsia="es-ES"/>
        </w:rPr>
      </w:pPr>
      <w:r w:rsidRPr="00A47A5B">
        <w:rPr>
          <w:rFonts w:ascii="Arial" w:eastAsia="Times New Roman" w:hAnsi="Arial" w:cs="Arial"/>
          <w:sz w:val="20"/>
          <w:szCs w:val="20"/>
          <w:lang w:val="es-ES" w:eastAsia="es-ES"/>
        </w:rPr>
        <w:t>Planificación estatal: el Consejo Nacional de Posguerra. El rol de José Figuerola. Las reformas en la estructura estatal. Distribución de la riqueza durante el período de estudio. El Primer Plan Quinquenal: el centro en la obra pública y la inversión. La nacionalización de servicios públicos y el rol del IAPI.. La crisis de 1949. La conducción económica: de Miguel Miranda a Alfredo Gómez Morales. El Segundo Plan Quinquenal. El Plan de Estabilización. El Congreso de la Productividad.. La política agraria. Surgimiento y relevancia de Evita: la acción social directa y el desarrollo de la Fundación Eva Perón. Ramón Carrillo y su obra en materia de sanitarismo. La prevención y la cobertura del territorio nacional. Políticas de vivienda. Recreación: el turismo y el deporte como políticas sociales. Las reformas en el sistema penal. Educación: las cambiantes relaciones con la Iglesia y otros factores. La CNAOP  y la Universidad Obrera. Universidad y peronismo. Radio y cine como ejes de una cultura popular peronista. La promoción del esparcimiento popular.</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5. </w:t>
      </w:r>
      <w:r w:rsidRPr="00A47A5B">
        <w:rPr>
          <w:rFonts w:ascii="Arial" w:eastAsia="Times New Roman" w:hAnsi="Arial" w:cs="Arial"/>
          <w:b/>
          <w:bCs/>
          <w:sz w:val="20"/>
          <w:szCs w:val="20"/>
          <w:lang w:val="es-ES" w:eastAsia="es-ES"/>
        </w:rPr>
        <w:t>LA POLÍTICA EXTERIOR DEL PRIMER PERONISMO</w:t>
      </w:r>
    </w:p>
    <w:p w:rsidR="00A47A5B" w:rsidRPr="00A47A5B" w:rsidRDefault="00A47A5B" w:rsidP="00A47A5B">
      <w:pPr>
        <w:jc w:val="both"/>
        <w:rPr>
          <w:rFonts w:ascii="Calibri" w:eastAsia="Times New Roman" w:hAnsi="Calibri" w:cs="Calibri"/>
          <w:sz w:val="28"/>
          <w:szCs w:val="28"/>
          <w:lang w:val="es-ES" w:eastAsia="es-ES"/>
        </w:rPr>
      </w:pPr>
      <w:r w:rsidRPr="00A47A5B">
        <w:rPr>
          <w:rFonts w:ascii="Arial" w:eastAsia="Times New Roman" w:hAnsi="Arial" w:cs="Arial"/>
          <w:sz w:val="20"/>
          <w:szCs w:val="20"/>
          <w:lang w:val="es-ES" w:eastAsia="es-ES"/>
        </w:rPr>
        <w:t xml:space="preserve">De Braden a Messersmith: la relación con Estados Unidos, antecedentes y particularidades de la etapa. El nacimiento de la guerra fría. El impacto del Plan Marshall. La Tercera Posición. La promoción de la visión peronista del mundo: la experiencia de los agregados obreros y ATLAS. La relación con Latinoamérica. </w:t>
      </w:r>
    </w:p>
    <w:p w:rsidR="00A47A5B" w:rsidRPr="00A47A5B" w:rsidRDefault="00A47A5B" w:rsidP="00A47A5B">
      <w:pPr>
        <w:tabs>
          <w:tab w:val="left" w:pos="8460"/>
        </w:tabs>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Unidad 6.</w:t>
      </w:r>
      <w:r w:rsidRPr="00A47A5B">
        <w:rPr>
          <w:rFonts w:ascii="Arial" w:eastAsia="Times New Roman" w:hAnsi="Arial" w:cs="Arial"/>
          <w:b/>
          <w:bCs/>
          <w:sz w:val="20"/>
          <w:szCs w:val="20"/>
          <w:lang w:val="es-ES" w:eastAsia="es-ES"/>
        </w:rPr>
        <w:t xml:space="preserve"> 1955</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La legislación destacada del último año de gobierno. El enfrentamiento con la Iglesia Católica y el alineamiento de la oposición partidaria. La posición de las fuerzas armadas; alineamiento y golpismo. Antecedentes de sediciones cívico militares. Los sucesos de junio: la masacre en Plaza de Mayo. Los meses precedentes al golpe de setiembre. Las relaciones internacionales </w:t>
      </w:r>
    </w:p>
    <w:p w:rsidR="00A47A5B" w:rsidRPr="00A47A5B" w:rsidRDefault="00A47A5B" w:rsidP="00A47A5B">
      <w:pPr>
        <w:jc w:val="both"/>
        <w:rPr>
          <w:rFonts w:ascii="Calibri" w:eastAsia="Times New Roman" w:hAnsi="Calibri" w:cs="Calibri"/>
          <w:b/>
          <w:bCs/>
          <w:color w:val="1F497D"/>
          <w:sz w:val="28"/>
          <w:szCs w:val="28"/>
          <w:lang w:val="es-ES" w:eastAsia="es-ES"/>
        </w:rPr>
      </w:pPr>
    </w:p>
    <w:p w:rsidR="00A47A5B" w:rsidRPr="00A47A5B" w:rsidRDefault="00A47A5B" w:rsidP="00A47A5B">
      <w:pPr>
        <w:jc w:val="both"/>
        <w:rPr>
          <w:rFonts w:ascii="Calibri" w:eastAsia="Times New Roman" w:hAnsi="Calibri" w:cs="Calibri"/>
          <w:b/>
          <w:bCs/>
          <w:color w:val="1F497D"/>
          <w:sz w:val="28"/>
          <w:szCs w:val="28"/>
          <w:lang w:val="es-ES" w:eastAsia="es-ES"/>
        </w:rPr>
      </w:pPr>
    </w:p>
    <w:p w:rsidR="00A47A5B" w:rsidRPr="00A47A5B" w:rsidRDefault="00A47A5B" w:rsidP="00A47A5B">
      <w:pPr>
        <w:jc w:val="both"/>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t xml:space="preserve">3. Bibliografía. </w:t>
      </w:r>
    </w:p>
    <w:p w:rsidR="00A47A5B" w:rsidRPr="00A47A5B" w:rsidRDefault="00A47A5B" w:rsidP="00A47A5B">
      <w:pPr>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1. </w:t>
      </w:r>
      <w:r w:rsidRPr="00A47A5B">
        <w:rPr>
          <w:rFonts w:ascii="Arial" w:eastAsia="Times New Roman" w:hAnsi="Arial" w:cs="Arial"/>
          <w:b/>
          <w:bCs/>
          <w:sz w:val="20"/>
          <w:szCs w:val="20"/>
          <w:lang w:val="es-ES" w:eastAsia="es-ES"/>
        </w:rPr>
        <w:t>LAS INTERPRETACIONES SOBRE EL PERONISMO. EL FACTOR PERÓN</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Rein, Raanán, en Los estudios sobre el primer peronismo. Aproximaciones desde el siglo XXI, Instituto Cultural de la provincia de Buenos Aires, La Plata, 2009.</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Barry, Carolina, en Los estudios sobre el primer peronismo. Aproximaciones desde el siglo XXI, Instituto Cultural de la provincia de Buenos Aires, La Plata, 2009.</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Acha, Omar – Nicolás Quiroga, en Los estudios sobre el primer peronismo. Aproximaciones desde el siglo XXI, Instituto Cultural de la provincia de Buenos Aires, La Plata, 2009.</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García Sebastiani, Marcela, Los antiperonistas en la Argentina peronista, Buenos Aires, Prometeo, 2005, capítulo 1.</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Altamirano, Carlos, Peronismo y cultura de izquierda, Siglo XXI, Buenos Aires, 2011, capítulo 1 y 2.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Fiorucci, Flavia, Intelectuales y peronismo, 1945-1955, Biblos, Bs. As. 2011 capítulos 1 y 4.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De Ipola, Emilio, El hecho peronista, en Carlos Altamirano (ed.) Argentina en el Siglo XX, Ariel – Universidad Nacional de Quilmes, Buenos Aires, 1999, p.325-332</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Romero, José Luis, El carisma de Perón, publicado en revista Redacción número 2 (abril 1973) incluido en La experiencia argentina y otros ensayos, colección Nueva Dimensión Argentina, Taurus, Buenos Aires, 2009, p.500-505</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Sigal, Silvia, El peronismo como promesa, en Desarrollo Económico números 190-191, julio 2008, p.269-286</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Torre, Juan Carlos, Ensayos sobre movimiento obrero y peronismo, Siglo XXI, Buenos Aires, 2012, capítulo 6.</w:t>
      </w:r>
    </w:p>
    <w:p w:rsidR="00A47A5B" w:rsidRPr="00A47A5B" w:rsidRDefault="00A47A5B" w:rsidP="00A47A5B">
      <w:pPr>
        <w:rPr>
          <w:rFonts w:ascii="Calibri" w:eastAsia="Times New Roman" w:hAnsi="Calibri" w:cs="Calibri"/>
          <w:b/>
          <w:bCs/>
          <w:sz w:val="26"/>
          <w:szCs w:val="26"/>
          <w:u w:val="single"/>
          <w:lang w:val="es-ES" w:eastAsia="es-ES"/>
        </w:rPr>
      </w:pPr>
      <w:r w:rsidRPr="00A47A5B">
        <w:rPr>
          <w:rFonts w:ascii="Calibri" w:eastAsia="Times New Roman" w:hAnsi="Calibri" w:cs="Calibri"/>
          <w:b/>
          <w:bCs/>
          <w:sz w:val="28"/>
          <w:szCs w:val="28"/>
          <w:lang w:val="es-ES" w:eastAsia="es-ES"/>
        </w:rPr>
        <w:t xml:space="preserve">Unidad 2. </w:t>
      </w:r>
      <w:r w:rsidRPr="00A47A5B">
        <w:rPr>
          <w:rFonts w:ascii="Arial" w:eastAsia="Times New Roman" w:hAnsi="Arial" w:cs="Arial"/>
          <w:b/>
          <w:bCs/>
          <w:sz w:val="20"/>
          <w:szCs w:val="20"/>
          <w:lang w:val="es-ES" w:eastAsia="es-ES"/>
        </w:rPr>
        <w:t>EL SURGIMIENTO DEL PERONISMO: DE LA SECRETARÍA DE TRABAJO Y PREVISIÓN AL TRIUNFO ELECTORAL</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Campione, Daniel, </w:t>
      </w:r>
      <w:r w:rsidRPr="00A47A5B">
        <w:rPr>
          <w:rFonts w:ascii="Arial" w:eastAsia="Times New Roman" w:hAnsi="Arial" w:cs="Arial"/>
          <w:iCs/>
          <w:sz w:val="20"/>
          <w:szCs w:val="20"/>
          <w:lang w:val="es-ES" w:eastAsia="es-ES"/>
        </w:rPr>
        <w:t>Orígenes estatales del peronismo</w:t>
      </w:r>
      <w:r w:rsidRPr="00A47A5B">
        <w:rPr>
          <w:rFonts w:ascii="Arial" w:eastAsia="Times New Roman" w:hAnsi="Arial" w:cs="Arial"/>
          <w:sz w:val="20"/>
          <w:szCs w:val="20"/>
          <w:lang w:val="es-ES" w:eastAsia="es-ES"/>
        </w:rPr>
        <w:t xml:space="preserve">, Miño y Dávila, Buenos Aires, 2007, capítulos 1 y 3.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Healey, Mark, El peronismo entre las ruinas, Siglo XXI, 2012, capítulo 3.</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Del Campo, Hugo, Sindicalismo y peronismo, Siglo XXI, Bs. As. 2005, 2da parte.</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Lobato, Mirta Zaida y Tornay, Lizel, La política como espectáculo: imágenes del 17 de octubre, en Senén González y Lerman, El 17 de Octubre de 1945, Lumiere, Buenos Aires, 2005.</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Prol, Mercedes, Estado, movimiento y partido, Siglo XXI, Bs. As. 2012, capítulo 4.</w:t>
      </w:r>
    </w:p>
    <w:p w:rsidR="00A47A5B" w:rsidRPr="00A47A5B" w:rsidRDefault="00A47A5B" w:rsidP="00A47A5B">
      <w:pPr>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lastRenderedPageBreak/>
        <w:t xml:space="preserve">Unidad 3. </w:t>
      </w:r>
      <w:r w:rsidRPr="00A47A5B">
        <w:rPr>
          <w:rFonts w:ascii="Arial" w:eastAsia="Times New Roman" w:hAnsi="Arial" w:cs="Arial"/>
          <w:b/>
          <w:bCs/>
          <w:sz w:val="20"/>
          <w:szCs w:val="20"/>
          <w:lang w:val="es-ES" w:eastAsia="es-ES"/>
        </w:rPr>
        <w:t>EL PERONISMO ENTRE PARTIDO Y MOVIMIENTO:CONFORMACIONES POLÍTICAS Y SOCIALES DURANTE EL PRIMER PERONISMO</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Aelo, Oscar, Las experiencias de gobierno en provincia de Buenos Aires 1947/1955 en Aelo, Oscar (comp.) Las </w:t>
      </w:r>
      <w:r w:rsidRPr="00A47A5B">
        <w:rPr>
          <w:rFonts w:ascii="Arial" w:eastAsia="Times New Roman" w:hAnsi="Arial" w:cs="Arial"/>
          <w:iCs/>
          <w:sz w:val="20"/>
          <w:szCs w:val="20"/>
          <w:lang w:val="es-ES" w:eastAsia="es-ES"/>
        </w:rPr>
        <w:t>configuraciones provinciales del peronismo. Actores y prácticas políticas, 1945-1955</w:t>
      </w:r>
      <w:r w:rsidRPr="00A47A5B">
        <w:rPr>
          <w:rFonts w:ascii="Arial" w:eastAsia="Times New Roman" w:hAnsi="Arial" w:cs="Arial"/>
          <w:sz w:val="20"/>
          <w:szCs w:val="20"/>
          <w:lang w:val="es-ES" w:eastAsia="es-ES"/>
        </w:rPr>
        <w:t xml:space="preserve">, Instituto Cultural de la provincia de Buenos Aires, La Plata, 2010.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Barry, Carolina, </w:t>
      </w:r>
      <w:r w:rsidRPr="00A47A5B">
        <w:rPr>
          <w:rFonts w:ascii="Arial" w:eastAsia="Times New Roman" w:hAnsi="Arial" w:cs="Arial"/>
          <w:iCs/>
          <w:sz w:val="20"/>
          <w:szCs w:val="20"/>
          <w:lang w:val="es-ES" w:eastAsia="es-ES"/>
        </w:rPr>
        <w:t>Evitacapitana. El partido peronista femenino, 1949-1955</w:t>
      </w:r>
      <w:r w:rsidRPr="00A47A5B">
        <w:rPr>
          <w:rFonts w:ascii="Arial" w:eastAsia="Times New Roman" w:hAnsi="Arial" w:cs="Arial"/>
          <w:sz w:val="20"/>
          <w:szCs w:val="20"/>
          <w:lang w:val="es-ES" w:eastAsia="es-ES"/>
        </w:rPr>
        <w:t>. Eduntref, Caseros, 2009, Capítulos  1, 2, 3 y 4</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Doyon, Louise, </w:t>
      </w:r>
      <w:r w:rsidRPr="00A47A5B">
        <w:rPr>
          <w:rFonts w:ascii="Arial" w:eastAsia="Times New Roman" w:hAnsi="Arial" w:cs="Arial"/>
          <w:iCs/>
          <w:sz w:val="20"/>
          <w:szCs w:val="20"/>
          <w:lang w:val="es-ES" w:eastAsia="es-ES"/>
        </w:rPr>
        <w:t>Perón y los trabajadores. Los orígenes del sindicalismo peronista, 1943-1955</w:t>
      </w:r>
      <w:r w:rsidRPr="00A47A5B">
        <w:rPr>
          <w:rFonts w:ascii="Arial" w:eastAsia="Times New Roman" w:hAnsi="Arial" w:cs="Arial"/>
          <w:i/>
          <w:iCs/>
          <w:sz w:val="20"/>
          <w:szCs w:val="20"/>
          <w:lang w:val="es-ES" w:eastAsia="es-ES"/>
        </w:rPr>
        <w:t xml:space="preserve">, </w:t>
      </w:r>
      <w:r w:rsidRPr="00A47A5B">
        <w:rPr>
          <w:rFonts w:ascii="Arial" w:eastAsia="Times New Roman" w:hAnsi="Arial" w:cs="Arial"/>
          <w:sz w:val="20"/>
          <w:szCs w:val="20"/>
          <w:lang w:val="es-ES" w:eastAsia="es-ES"/>
        </w:rPr>
        <w:t>Siglo XXI editora iberoamericana, Buenos Aires, 2006, capítulos 8, 9 y 11.</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Gene, Marcela, Un mundo feliz. Imágenes de los trabajadores en el primer peronismo, 1946-1955, Fondo de Cultura Económica, Buenos Aires, 2008, capítulo 2.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García Sebastiani, Marcela: </w:t>
      </w:r>
      <w:r w:rsidRPr="00A47A5B">
        <w:rPr>
          <w:rFonts w:ascii="Arial" w:eastAsia="Times New Roman" w:hAnsi="Arial" w:cs="Arial"/>
          <w:iCs/>
          <w:sz w:val="20"/>
          <w:szCs w:val="20"/>
          <w:lang w:val="es-ES" w:eastAsia="es-ES"/>
        </w:rPr>
        <w:t>Los antiperonistas en la Argentina peronista</w:t>
      </w:r>
      <w:r w:rsidRPr="00A47A5B">
        <w:rPr>
          <w:rFonts w:ascii="Arial" w:eastAsia="Times New Roman" w:hAnsi="Arial" w:cs="Arial"/>
          <w:sz w:val="20"/>
          <w:szCs w:val="20"/>
          <w:lang w:val="es-ES" w:eastAsia="es-ES"/>
        </w:rPr>
        <w:t xml:space="preserve">, Buenos. Aires, Prometeo, 2005, capítulos 2, 3 y 5.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Prol, Mercedes, El gobierno provincial en Santa Fe en Aelo, Oscar (comp.) Las configuraciones provinciales del peronismo. Actores y prácticas políticas, 1945-1955, Instituto Cultural de la provincia de Buenos Aires, La Plata, 2010.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Acha, Omar, Sociedad política y peronismo, Desarrollo Económico, vol 44, N° 174, julio-septiembre 2004 (pp. 199-230).</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Phillip, Marta, En nombre de Córdoba, Ferreira Editor, Córdoba, 1998, capítulo 3.</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Schiavi, Marcos, El poder sindical de la Argentina peronista 1946 – 1955, Imago Mundi, Buenos Aires, 2013, capítulos 3, 8 y 11.</w:t>
      </w:r>
    </w:p>
    <w:p w:rsidR="00A47A5B" w:rsidRPr="00A47A5B" w:rsidRDefault="00A47A5B" w:rsidP="00A47A5B">
      <w:pPr>
        <w:tabs>
          <w:tab w:val="left" w:pos="8460"/>
        </w:tabs>
        <w:jc w:val="both"/>
        <w:rPr>
          <w:rFonts w:ascii="Arial" w:eastAsia="Times New Roman" w:hAnsi="Arial" w:cs="Arial"/>
          <w:sz w:val="20"/>
          <w:szCs w:val="20"/>
          <w:shd w:val="clear" w:color="auto" w:fill="FFFFFF"/>
          <w:lang w:val="es-ES" w:eastAsia="es-ES"/>
        </w:rPr>
      </w:pPr>
      <w:r w:rsidRPr="00A47A5B">
        <w:rPr>
          <w:rFonts w:ascii="Arial" w:eastAsia="Times New Roman" w:hAnsi="Arial" w:cs="Arial"/>
          <w:sz w:val="20"/>
          <w:szCs w:val="20"/>
          <w:shd w:val="clear" w:color="auto" w:fill="FFFFFF"/>
          <w:lang w:val="es-ES" w:eastAsia="es-ES"/>
        </w:rPr>
        <w:t>González Arzac, Alberto, La Constitución Justicialista de 1949, suplemento número 41 de Todo es Historia. 1971</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Panella, Claudio en Rein, Raanan y Panella, Claudio (Comps.) Peronismo y prensa escrita, Universidad Nacional de La Plata, La Plata, 2008.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D´Iorio, Gabriel, El rugoso ser de lo común. Astrada, Perón, y el Primer Congreso Nacional de Filosofía, en Korn, Guillermo (Comp.) Viñas, David (Dir.) </w:t>
      </w:r>
      <w:r w:rsidRPr="00A47A5B">
        <w:rPr>
          <w:rFonts w:ascii="Arial" w:eastAsia="Times New Roman" w:hAnsi="Arial" w:cs="Arial"/>
          <w:i/>
          <w:iCs/>
          <w:sz w:val="20"/>
          <w:szCs w:val="20"/>
          <w:lang w:val="es-ES" w:eastAsia="es-ES"/>
        </w:rPr>
        <w:t xml:space="preserve">El peronismo clásico (1945-1955). </w:t>
      </w:r>
      <w:r w:rsidRPr="00A47A5B">
        <w:rPr>
          <w:rFonts w:ascii="Arial" w:eastAsia="Times New Roman" w:hAnsi="Arial" w:cs="Arial"/>
          <w:iCs/>
          <w:sz w:val="20"/>
          <w:szCs w:val="20"/>
          <w:lang w:val="es-ES" w:eastAsia="es-ES"/>
        </w:rPr>
        <w:t>Descamisados, gorilas y contreras</w:t>
      </w:r>
      <w:r w:rsidRPr="00A47A5B">
        <w:rPr>
          <w:rFonts w:ascii="Arial" w:eastAsia="Times New Roman" w:hAnsi="Arial" w:cs="Arial"/>
          <w:sz w:val="20"/>
          <w:szCs w:val="20"/>
          <w:lang w:val="es-ES" w:eastAsia="es-ES"/>
        </w:rPr>
        <w:t xml:space="preserve">. </w:t>
      </w:r>
      <w:r w:rsidRPr="00A47A5B">
        <w:rPr>
          <w:rFonts w:ascii="Arial" w:eastAsia="Times New Roman" w:hAnsi="Arial" w:cs="Arial"/>
          <w:iCs/>
          <w:sz w:val="20"/>
          <w:szCs w:val="20"/>
          <w:lang w:val="es-ES" w:eastAsia="es-ES"/>
        </w:rPr>
        <w:t>Tomo 4 de Literatura argentina Siglo XX</w:t>
      </w:r>
      <w:r w:rsidRPr="00A47A5B">
        <w:rPr>
          <w:rFonts w:ascii="Arial" w:eastAsia="Times New Roman" w:hAnsi="Arial" w:cs="Arial"/>
          <w:sz w:val="20"/>
          <w:szCs w:val="20"/>
          <w:lang w:val="es-ES" w:eastAsia="es-ES"/>
        </w:rPr>
        <w:t xml:space="preserve">. Paradiso-Fundación Crónica General, Buenos Aires, 2007.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Kryskowski, Juan Pablo, El peronismo cultural, material de cátedra, Buenos Aires, 2014.</w:t>
      </w:r>
    </w:p>
    <w:p w:rsidR="00A47A5B" w:rsidRPr="00A47A5B" w:rsidRDefault="00A47A5B" w:rsidP="00A47A5B">
      <w:pPr>
        <w:jc w:val="both"/>
        <w:rPr>
          <w:rFonts w:ascii="Arial" w:eastAsia="Times New Roman" w:hAnsi="Arial" w:cs="Arial"/>
          <w:b/>
          <w:bCs/>
          <w:sz w:val="20"/>
          <w:szCs w:val="20"/>
          <w:lang w:val="es-ES" w:eastAsia="es-ES"/>
        </w:rPr>
      </w:pPr>
      <w:r w:rsidRPr="00A47A5B">
        <w:rPr>
          <w:rFonts w:ascii="Calibri" w:eastAsia="Times New Roman" w:hAnsi="Calibri" w:cs="Calibri"/>
          <w:b/>
          <w:bCs/>
          <w:sz w:val="28"/>
          <w:szCs w:val="28"/>
          <w:lang w:val="es-ES" w:eastAsia="es-ES"/>
        </w:rPr>
        <w:t xml:space="preserve">Unidad 4 </w:t>
      </w:r>
      <w:r w:rsidRPr="00A47A5B">
        <w:rPr>
          <w:rFonts w:ascii="Arial" w:eastAsia="Times New Roman" w:hAnsi="Arial" w:cs="Arial"/>
          <w:b/>
          <w:bCs/>
          <w:sz w:val="20"/>
          <w:szCs w:val="20"/>
          <w:lang w:val="es-ES" w:eastAsia="es-ES"/>
        </w:rPr>
        <w:t>ESTADO Y POLÍTICAS PÚBLICAS: PLANIFICACIÓN Y POLÍTICAS SOCIALES</w:t>
      </w:r>
    </w:p>
    <w:p w:rsidR="00A47A5B" w:rsidRPr="00A47A5B" w:rsidRDefault="00A47A5B" w:rsidP="00A47A5B">
      <w:pPr>
        <w:tabs>
          <w:tab w:val="left" w:pos="8460"/>
        </w:tabs>
        <w:jc w:val="both"/>
        <w:rPr>
          <w:rFonts w:ascii="Arial" w:eastAsia="Times New Roman" w:hAnsi="Arial" w:cs="Arial"/>
          <w:sz w:val="20"/>
          <w:szCs w:val="20"/>
          <w:shd w:val="clear" w:color="auto" w:fill="FFFFFF"/>
          <w:lang w:val="es-ES" w:eastAsia="es-ES"/>
        </w:rPr>
      </w:pPr>
      <w:r w:rsidRPr="00A47A5B">
        <w:rPr>
          <w:rFonts w:ascii="Arial" w:eastAsia="Times New Roman" w:hAnsi="Arial" w:cs="Arial"/>
          <w:sz w:val="20"/>
          <w:szCs w:val="20"/>
          <w:shd w:val="clear" w:color="auto" w:fill="FFFFFF"/>
          <w:lang w:val="es-ES" w:eastAsia="es-ES"/>
        </w:rPr>
        <w:t>Bellini, Claudio, Combatiendo al capital. Peronismo, burocracia, empresas y política industrial 1943 -1955, Imago Mundi, Buenos Aires, 2013, capítulo 1</w:t>
      </w:r>
      <w:r w:rsidRPr="00A47A5B">
        <w:rPr>
          <w:rFonts w:ascii="Arial" w:eastAsia="Times New Roman" w:hAnsi="Arial" w:cs="Arial"/>
          <w:sz w:val="20"/>
          <w:szCs w:val="20"/>
          <w:shd w:val="clear" w:color="auto" w:fill="FFFFFF"/>
          <w:lang w:val="es-ES_tradnl" w:eastAsia="es-ES"/>
        </w:rPr>
        <w:t>, 2, 4 y 5.</w:t>
      </w:r>
    </w:p>
    <w:p w:rsidR="00A47A5B" w:rsidRPr="00A47A5B" w:rsidRDefault="00A47A5B" w:rsidP="00A47A5B">
      <w:pPr>
        <w:tabs>
          <w:tab w:val="left" w:pos="8460"/>
        </w:tabs>
        <w:jc w:val="both"/>
        <w:rPr>
          <w:rFonts w:ascii="Arial" w:eastAsia="Times New Roman" w:hAnsi="Arial" w:cs="Arial"/>
          <w:sz w:val="20"/>
          <w:szCs w:val="20"/>
          <w:shd w:val="clear" w:color="auto" w:fill="FFFFFF"/>
          <w:lang w:val="es-ES" w:eastAsia="es-ES"/>
        </w:rPr>
      </w:pPr>
      <w:r w:rsidRPr="00A47A5B">
        <w:rPr>
          <w:rFonts w:ascii="Arial" w:eastAsia="Times New Roman" w:hAnsi="Arial" w:cs="Arial"/>
          <w:sz w:val="20"/>
          <w:szCs w:val="20"/>
          <w:shd w:val="clear" w:color="auto" w:fill="FFFFFF"/>
          <w:lang w:val="es-ES" w:eastAsia="es-ES"/>
        </w:rPr>
        <w:t xml:space="preserve">Berrotarán, Patricia, </w:t>
      </w:r>
      <w:r w:rsidRPr="00A47A5B">
        <w:rPr>
          <w:rFonts w:ascii="Arial" w:eastAsia="Times New Roman" w:hAnsi="Arial" w:cs="Arial"/>
          <w:iCs/>
          <w:sz w:val="20"/>
          <w:szCs w:val="20"/>
          <w:shd w:val="clear" w:color="auto" w:fill="FFFFFF"/>
          <w:lang w:val="es-ES" w:eastAsia="es-ES"/>
        </w:rPr>
        <w:t>Del plan a la planificación</w:t>
      </w:r>
      <w:r w:rsidRPr="00A47A5B">
        <w:rPr>
          <w:rFonts w:ascii="Arial" w:eastAsia="Times New Roman" w:hAnsi="Arial" w:cs="Arial"/>
          <w:i/>
          <w:iCs/>
          <w:sz w:val="20"/>
          <w:szCs w:val="20"/>
          <w:shd w:val="clear" w:color="auto" w:fill="FFFFFF"/>
          <w:lang w:val="es-ES" w:eastAsia="es-ES"/>
        </w:rPr>
        <w:t xml:space="preserve">. </w:t>
      </w:r>
      <w:r w:rsidRPr="00A47A5B">
        <w:rPr>
          <w:rFonts w:ascii="Arial" w:eastAsia="Times New Roman" w:hAnsi="Arial" w:cs="Arial"/>
          <w:iCs/>
          <w:sz w:val="20"/>
          <w:szCs w:val="20"/>
          <w:shd w:val="clear" w:color="auto" w:fill="FFFFFF"/>
          <w:lang w:val="es-ES" w:eastAsia="es-ES"/>
        </w:rPr>
        <w:t>El estado durante la época peronista</w:t>
      </w:r>
      <w:r w:rsidRPr="00A47A5B">
        <w:rPr>
          <w:rFonts w:ascii="Arial" w:eastAsia="Times New Roman" w:hAnsi="Arial" w:cs="Arial"/>
          <w:i/>
          <w:iCs/>
          <w:sz w:val="20"/>
          <w:szCs w:val="20"/>
          <w:shd w:val="clear" w:color="auto" w:fill="FFFFFF"/>
          <w:lang w:val="es-ES" w:eastAsia="es-ES"/>
        </w:rPr>
        <w:t>.</w:t>
      </w:r>
      <w:r w:rsidRPr="00A47A5B">
        <w:rPr>
          <w:rFonts w:ascii="Arial" w:eastAsia="Times New Roman" w:hAnsi="Arial" w:cs="Arial"/>
          <w:sz w:val="20"/>
          <w:szCs w:val="20"/>
          <w:shd w:val="clear" w:color="auto" w:fill="FFFFFF"/>
          <w:lang w:val="es-ES" w:eastAsia="es-ES"/>
        </w:rPr>
        <w:t xml:space="preserve"> Imago Mundi, Buenos Aires, 2003, capítulos 2, 3 y 4.</w:t>
      </w:r>
    </w:p>
    <w:p w:rsidR="00A47A5B" w:rsidRPr="00A47A5B" w:rsidRDefault="00A47A5B" w:rsidP="00A47A5B">
      <w:pPr>
        <w:tabs>
          <w:tab w:val="left" w:pos="8460"/>
        </w:tabs>
        <w:jc w:val="both"/>
        <w:rPr>
          <w:rFonts w:ascii="Arial" w:eastAsia="Times New Roman" w:hAnsi="Arial" w:cs="Arial"/>
          <w:sz w:val="20"/>
          <w:szCs w:val="20"/>
          <w:shd w:val="clear" w:color="auto" w:fill="FFFFFF"/>
          <w:lang w:val="es-ES" w:eastAsia="es-ES"/>
        </w:rPr>
      </w:pPr>
      <w:r w:rsidRPr="00A47A5B">
        <w:rPr>
          <w:rFonts w:ascii="Arial" w:eastAsia="Times New Roman" w:hAnsi="Arial" w:cs="Arial"/>
          <w:sz w:val="20"/>
          <w:szCs w:val="20"/>
          <w:shd w:val="clear" w:color="auto" w:fill="FFFFFF"/>
          <w:lang w:val="es-ES" w:eastAsia="es-ES"/>
        </w:rPr>
        <w:lastRenderedPageBreak/>
        <w:t>Luciani, María Paula, José María Freire, de secretario a ministro, un peronismo obrero en el área de Trabajo y Previsión, de La sociedad del trabajo, Las instituciones laborales en la Argentina 1900-1955. Lobato, María Zaida y Suriano, Juan (compiladores) Edhasa, Buenos Aires, 2014.</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Novick, Susana, </w:t>
      </w:r>
      <w:r w:rsidRPr="00A47A5B">
        <w:rPr>
          <w:rFonts w:ascii="Arial" w:eastAsia="Times New Roman" w:hAnsi="Arial" w:cs="Arial"/>
          <w:iCs/>
          <w:sz w:val="20"/>
          <w:szCs w:val="20"/>
          <w:lang w:val="es-ES" w:eastAsia="es-ES"/>
        </w:rPr>
        <w:t>IAPI, auge y decadencia,</w:t>
      </w:r>
      <w:r w:rsidRPr="00A47A5B">
        <w:rPr>
          <w:rFonts w:ascii="Arial" w:eastAsia="Times New Roman" w:hAnsi="Arial" w:cs="Arial"/>
          <w:sz w:val="20"/>
          <w:szCs w:val="20"/>
          <w:lang w:val="es-ES" w:eastAsia="es-ES"/>
        </w:rPr>
        <w:t xml:space="preserve"> Biblioteca Política Argentina, Centro Editor de América Latina, Buenos Aires, 1986, capítulos 3 y 6.</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Barsky, Osvaldo y Gelman, Jorge, Historia del agro argentino, Mondadori, Buenos Aires, 2001, extracto del capítulo 9.</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Lattuada, Mario J, La política agraria peronista 1943-1983, tomo 1, Biblioteca Política Argentina – Centro Editor de América Latina, capítulos 3 y 4.</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Stawski, Martín: El populismo paralelo: política social de la Fundación Eva Perón, de Sueños de bienestar, de Berrotarán, Jáuregui y Rouggier, Imago Mundi, Buenos Aires, 1998, capítulo 7.</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Ramaciotti, Karina, La política sanitaria del peronismo, Biblos, Buenos Aires, 2009, capítulos 3, 4 y 5.</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Ballent, Anahi, Las huellas de la política, Universidad Nacional de Quilmes-Prometeo 3010, Bernal, 2009, capítulo 2. </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Aboy, Rosa: Viviendas para el pueblo, Fondo de Cultura Económica, Buenos Aires, 2005, capítulo 3.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Bernetti, Jorge Luis y Puiggrós, Adriana, Las reformas del sistema educativo e Iglesia y Educación en Peronismo: Cultura política y educación 1945-1955 (Tomo V de Historia de la Educación en la Argentina), Editorial Galerna, 1993.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Buchbinder, Pablo, Historia de las universidades argentinas, Sudamericana, Buenos Aires, 2005, capítulo 7.</w:t>
      </w:r>
    </w:p>
    <w:p w:rsidR="00A47A5B" w:rsidRPr="00A47A5B" w:rsidRDefault="00A47A5B" w:rsidP="00A47A5B">
      <w:pPr>
        <w:jc w:val="both"/>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t xml:space="preserve">Unidad 5 </w:t>
      </w:r>
      <w:r w:rsidRPr="00A47A5B">
        <w:rPr>
          <w:rFonts w:ascii="Arial" w:eastAsia="Times New Roman" w:hAnsi="Arial" w:cs="Arial"/>
          <w:b/>
          <w:bCs/>
          <w:sz w:val="20"/>
          <w:szCs w:val="20"/>
          <w:lang w:val="es-ES" w:eastAsia="es-ES"/>
        </w:rPr>
        <w:t>LA POLÍTICA EXTERIOR DEL PRIMER PERONISMO</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Rapoport, Mario y Spiguel Claudio, Relaciones tumultuosas, Emecé, Bs. As. 2009, capítulos 7, 9, 10, 12, 13, 14 y 15.</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Rein, Raanán: Peronismo, populismo y política 1943-1955, Universidad de Belgrano,  Buenos Aires, 1998, capítulos 5 y 7.</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Panella, Claudio: Los agregados obreros. Una experiencia inédita en la diplomacia argentina, en Todo es Historia número 325 (Octubre 1994).</w:t>
      </w:r>
    </w:p>
    <w:p w:rsidR="00A47A5B" w:rsidRPr="00A47A5B" w:rsidRDefault="00A47A5B" w:rsidP="00A47A5B">
      <w:pPr>
        <w:jc w:val="both"/>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t xml:space="preserve">Unidad 6 </w:t>
      </w:r>
      <w:r w:rsidRPr="00A47A5B">
        <w:rPr>
          <w:rFonts w:ascii="Arial" w:eastAsia="Times New Roman" w:hAnsi="Arial" w:cs="Arial"/>
          <w:b/>
          <w:bCs/>
          <w:sz w:val="20"/>
          <w:szCs w:val="20"/>
          <w:lang w:val="es-ES" w:eastAsia="es-ES"/>
        </w:rPr>
        <w:t>1955</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Spinelli, María Estela, Los vencedores vencidos, Biblos, Buenos Aires, 2005, capítulo 1.</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Tcach, Cesar, Sabattinismo y Peronismo, Sudamericana, Bs. As. 1991, capítulos 6,7, 9 y 10.</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Caimari, Lila, Perón y la iglesia católica, Emecé, Buenos Aires, 2010, capítulo 9.</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lastRenderedPageBreak/>
        <w:t>Potash, Robert, Las fuerzas armadas y la era de Perón, en Torre, Juan Carlos (dir.) Nueva Historia Argentina T.8 Los años peronistas, Sudamericana, Bs. As, 2002.</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Rapoport, Mario y Spiguel Claudio: Relaciones tumultuosas, Emecé, Bs. As. 2009, capítulo 16.</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Cichero, Daniel, Bombas sobre Buenos Aires, Vergara, Buenos Aires, 2005, capítulo 1.</w:t>
      </w:r>
    </w:p>
    <w:p w:rsidR="00A47A5B" w:rsidRPr="00A47A5B" w:rsidRDefault="00A47A5B" w:rsidP="00A47A5B">
      <w:pPr>
        <w:tabs>
          <w:tab w:val="left" w:pos="2627"/>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Chaves, Gonzalo Leónidas, La masacre de Plaza de Mayo, de la campana, La Plata, 2005, capítulo 2.</w:t>
      </w:r>
    </w:p>
    <w:p w:rsidR="00A47A5B" w:rsidRPr="00A47A5B" w:rsidRDefault="00A47A5B" w:rsidP="00A47A5B">
      <w:pPr>
        <w:tabs>
          <w:tab w:val="left" w:pos="8460"/>
        </w:tabs>
        <w:jc w:val="both"/>
        <w:rPr>
          <w:rFonts w:ascii="Arial" w:eastAsia="Times New Roman" w:hAnsi="Arial" w:cs="Arial"/>
          <w:b/>
          <w:bCs/>
          <w:sz w:val="20"/>
          <w:szCs w:val="20"/>
          <w:lang w:val="es-ES" w:eastAsia="es-ES"/>
        </w:rPr>
      </w:pPr>
      <w:r w:rsidRPr="00A47A5B">
        <w:rPr>
          <w:rFonts w:ascii="Arial" w:eastAsia="Times New Roman" w:hAnsi="Arial" w:cs="Arial"/>
          <w:b/>
          <w:bCs/>
          <w:sz w:val="28"/>
          <w:szCs w:val="28"/>
          <w:lang w:val="es-ES" w:eastAsia="es-ES"/>
        </w:rPr>
        <w:t xml:space="preserve">Metodología de enseñanza </w:t>
      </w: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Clases teóricas orientadas a la compresión de las distintas unidades temáticas; y clases teórico-prácticas para la presentación de los lineamientos generales para la lectura y debate de los textos. </w:t>
      </w:r>
    </w:p>
    <w:p w:rsidR="00A47A5B" w:rsidRPr="00A47A5B" w:rsidRDefault="00A47A5B" w:rsidP="00A47A5B">
      <w:pPr>
        <w:spacing w:after="120" w:line="240" w:lineRule="auto"/>
        <w:ind w:firstLine="340"/>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Las Clases Teóricas se orientarán a presentar una síntesis de las principales líneas conceptuales que estructuran los contenidos de cada unidad. Esta tarea se realizará a través de exposiciones de no más de dos horas de duración que, en su caso, podrán ser asistidas con diversos instrumentos didácticos (filminas, diapositivas, etc.).</w:t>
      </w:r>
    </w:p>
    <w:p w:rsidR="00A47A5B" w:rsidRPr="00A47A5B" w:rsidRDefault="00A47A5B" w:rsidP="00A47A5B">
      <w:pPr>
        <w:ind w:firstLine="340"/>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Las Clases Teórico Prácticas focalizarán su actividad en la presentación, reflexión y debate de la bibliografía seleccionada como obligatoria, procurando la comprensión e integración conceptual del texto respecto de los contenidos temáticos de cada unidad. Esta instancia realizará un uso intensivo de instrumentos pedagógicos que faciliten el acercamiento del alumno a los objetivos mencionados. Asimismo, y previo a cada instancia de evaluación parcial, se dispondrá una revisión integradora de los contenidos tratados, que apunte a reforzar la distinción y articulación de los mismos. </w:t>
      </w:r>
    </w:p>
    <w:p w:rsidR="00A47A5B" w:rsidRPr="00A47A5B" w:rsidRDefault="00A47A5B" w:rsidP="00A47A5B">
      <w:pPr>
        <w:jc w:val="both"/>
        <w:rPr>
          <w:rFonts w:ascii="Calibri" w:eastAsia="Times New Roman" w:hAnsi="Calibri" w:cs="Calibri"/>
          <w:lang w:val="es-ES" w:eastAsia="es-ES"/>
        </w:rPr>
      </w:pPr>
      <w:r w:rsidRPr="00A47A5B">
        <w:rPr>
          <w:rFonts w:ascii="Calibri" w:eastAsia="Times New Roman" w:hAnsi="Calibri" w:cs="Calibri"/>
          <w:b/>
          <w:bCs/>
          <w:sz w:val="28"/>
          <w:szCs w:val="28"/>
          <w:lang w:val="es-ES" w:eastAsia="es-ES"/>
        </w:rPr>
        <w:t>Evaluaciones. Tipos y criterios.</w:t>
      </w:r>
    </w:p>
    <w:p w:rsidR="00A47A5B" w:rsidRPr="00A47A5B" w:rsidRDefault="00A47A5B" w:rsidP="00A47A5B">
      <w:pPr>
        <w:tabs>
          <w:tab w:val="left" w:pos="8460"/>
        </w:tabs>
        <w:jc w:val="both"/>
        <w:rPr>
          <w:rFonts w:ascii="Arial" w:eastAsia="Times New Roman" w:hAnsi="Arial" w:cs="Arial"/>
          <w:b/>
          <w:bCs/>
          <w:sz w:val="20"/>
          <w:szCs w:val="20"/>
          <w:lang w:val="es-ES" w:eastAsia="es-ES"/>
        </w:rPr>
      </w:pPr>
    </w:p>
    <w:p w:rsidR="00A47A5B" w:rsidRPr="00A47A5B" w:rsidRDefault="00A47A5B" w:rsidP="00A47A5B">
      <w:pPr>
        <w:tabs>
          <w:tab w:val="left" w:pos="8460"/>
        </w:tabs>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Los alumnos serán evaluados en tres instancias</w:t>
      </w:r>
      <w:r w:rsidRPr="00A47A5B">
        <w:rPr>
          <w:rFonts w:ascii="Arial" w:eastAsia="Times New Roman" w:hAnsi="Arial" w:cs="Arial"/>
          <w:color w:val="FF0000"/>
          <w:sz w:val="20"/>
          <w:szCs w:val="20"/>
          <w:lang w:val="es-ES" w:eastAsia="es-ES"/>
        </w:rPr>
        <w:t xml:space="preserve">: </w:t>
      </w:r>
      <w:r w:rsidRPr="00A47A5B">
        <w:rPr>
          <w:rFonts w:ascii="Arial" w:eastAsia="Times New Roman" w:hAnsi="Arial" w:cs="Arial"/>
          <w:sz w:val="20"/>
          <w:szCs w:val="20"/>
          <w:lang w:val="es-ES" w:eastAsia="es-ES"/>
        </w:rPr>
        <w:t>un parcial de modalidad domiciliaria, un avance monográfico y una monografía final.</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 xml:space="preserve">Criterios de Evaluación. </w:t>
      </w:r>
    </w:p>
    <w:p w:rsidR="00A47A5B" w:rsidRPr="00A47A5B" w:rsidRDefault="00A47A5B" w:rsidP="00A47A5B">
      <w:pPr>
        <w:jc w:val="both"/>
        <w:rPr>
          <w:rFonts w:ascii="Arial" w:eastAsia="Times New Roman" w:hAnsi="Arial" w:cs="Arial"/>
          <w:sz w:val="20"/>
          <w:szCs w:val="20"/>
          <w:lang w:val="es-ES" w:eastAsia="es-ES"/>
        </w:rPr>
      </w:pPr>
      <w:r w:rsidRPr="00A47A5B">
        <w:rPr>
          <w:rFonts w:ascii="Arial" w:eastAsia="Times New Roman" w:hAnsi="Arial" w:cs="Arial"/>
          <w:sz w:val="20"/>
          <w:szCs w:val="20"/>
          <w:lang w:val="es-ES" w:eastAsia="es-ES"/>
        </w:rPr>
        <w:t>Se evaluarán las capacidades para identificar, desarrollar y relacionar los contenidos trabajados en las Clases Teóricas y de Trabajos Prácticos que la cátedra determine para cada instancia de evaluación.</w:t>
      </w:r>
    </w:p>
    <w:p w:rsidR="00A47A5B" w:rsidRPr="00A47A5B" w:rsidRDefault="00A47A5B" w:rsidP="00A47A5B">
      <w:pPr>
        <w:jc w:val="both"/>
        <w:rPr>
          <w:rFonts w:ascii="Calibri" w:eastAsia="Times New Roman" w:hAnsi="Calibri" w:cs="Calibri"/>
          <w:b/>
          <w:bCs/>
          <w:sz w:val="28"/>
          <w:szCs w:val="28"/>
          <w:lang w:val="es-ES" w:eastAsia="es-ES"/>
        </w:rPr>
      </w:pPr>
      <w:r w:rsidRPr="00A47A5B">
        <w:rPr>
          <w:rFonts w:ascii="Calibri" w:eastAsia="Times New Roman" w:hAnsi="Calibri" w:cs="Calibri"/>
          <w:b/>
          <w:bCs/>
          <w:sz w:val="28"/>
          <w:szCs w:val="28"/>
          <w:lang w:val="es-ES" w:eastAsia="es-ES"/>
        </w:rPr>
        <w:t>Regularidad.</w:t>
      </w:r>
    </w:p>
    <w:p w:rsidR="00A47A5B" w:rsidRPr="00A47A5B" w:rsidRDefault="00A47A5B" w:rsidP="00A47A5B">
      <w:pPr>
        <w:spacing w:after="80" w:line="240" w:lineRule="auto"/>
        <w:ind w:firstLine="340"/>
        <w:jc w:val="both"/>
        <w:rPr>
          <w:rFonts w:ascii="Calibri" w:eastAsia="Times New Roman" w:hAnsi="Calibri" w:cs="Calibri"/>
          <w:sz w:val="24"/>
          <w:szCs w:val="24"/>
          <w:lang w:val="es-ES" w:eastAsia="es-ES"/>
        </w:rPr>
      </w:pPr>
      <w:r w:rsidRPr="00A47A5B">
        <w:rPr>
          <w:rFonts w:ascii="Calibri" w:eastAsia="Times New Roman" w:hAnsi="Calibri" w:cs="Calibri"/>
          <w:sz w:val="24"/>
          <w:szCs w:val="24"/>
          <w:lang w:val="es-ES" w:eastAsia="es-ES"/>
        </w:rPr>
        <w:t xml:space="preserve">La acreditación de la condición de </w:t>
      </w:r>
      <w:r w:rsidRPr="00A47A5B">
        <w:rPr>
          <w:rFonts w:ascii="Calibri" w:eastAsia="Times New Roman" w:hAnsi="Calibri" w:cs="Calibri"/>
          <w:b/>
          <w:bCs/>
          <w:sz w:val="24"/>
          <w:szCs w:val="24"/>
          <w:lang w:val="es-ES" w:eastAsia="es-ES"/>
        </w:rPr>
        <w:t>Alumno Regular</w:t>
      </w:r>
      <w:r w:rsidRPr="00A47A5B">
        <w:rPr>
          <w:rFonts w:ascii="Calibri" w:eastAsia="Times New Roman" w:hAnsi="Calibri" w:cs="Calibri"/>
          <w:sz w:val="24"/>
          <w:szCs w:val="24"/>
          <w:lang w:val="es-ES" w:eastAsia="es-ES"/>
        </w:rPr>
        <w:t xml:space="preserve"> de la materia comprende la certificación de los siguientes requisitos de Asistencia y Calificaciones en las evaluaciones parciales:    </w:t>
      </w:r>
    </w:p>
    <w:p w:rsidR="00A47A5B" w:rsidRPr="00A47A5B" w:rsidRDefault="00A47A5B" w:rsidP="00A47A5B">
      <w:pPr>
        <w:numPr>
          <w:ilvl w:val="0"/>
          <w:numId w:val="1"/>
        </w:numPr>
        <w:spacing w:after="0" w:line="240" w:lineRule="auto"/>
        <w:jc w:val="both"/>
        <w:rPr>
          <w:rFonts w:ascii="Calibri" w:eastAsia="Times New Roman" w:hAnsi="Calibri" w:cs="Calibri"/>
          <w:sz w:val="20"/>
          <w:szCs w:val="20"/>
          <w:lang w:eastAsia="es-ES"/>
        </w:rPr>
      </w:pPr>
      <w:r w:rsidRPr="00A47A5B">
        <w:rPr>
          <w:rFonts w:ascii="Calibri" w:eastAsia="Times New Roman" w:hAnsi="Calibri" w:cs="Calibri"/>
          <w:b/>
          <w:bCs/>
          <w:sz w:val="20"/>
          <w:szCs w:val="20"/>
          <w:lang w:eastAsia="es-ES"/>
        </w:rPr>
        <w:t>Asistencia</w:t>
      </w:r>
      <w:r w:rsidRPr="00A47A5B">
        <w:rPr>
          <w:rFonts w:ascii="Calibri" w:eastAsia="Times New Roman" w:hAnsi="Calibri" w:cs="Calibri"/>
          <w:sz w:val="20"/>
          <w:szCs w:val="20"/>
          <w:lang w:eastAsia="es-ES"/>
        </w:rPr>
        <w:t xml:space="preserve">. </w:t>
      </w:r>
    </w:p>
    <w:p w:rsidR="00A47A5B" w:rsidRPr="00A47A5B" w:rsidRDefault="00A47A5B" w:rsidP="00A47A5B">
      <w:pPr>
        <w:numPr>
          <w:ilvl w:val="1"/>
          <w:numId w:val="2"/>
        </w:numPr>
        <w:spacing w:after="0" w:line="240" w:lineRule="auto"/>
        <w:jc w:val="both"/>
        <w:rPr>
          <w:rFonts w:ascii="Calibri" w:eastAsia="Times New Roman" w:hAnsi="Calibri" w:cs="Calibri"/>
          <w:sz w:val="20"/>
          <w:szCs w:val="20"/>
          <w:lang w:eastAsia="es-ES"/>
        </w:rPr>
      </w:pPr>
      <w:r w:rsidRPr="00A47A5B">
        <w:rPr>
          <w:rFonts w:ascii="Calibri" w:eastAsia="Times New Roman" w:hAnsi="Calibri" w:cs="Calibri"/>
          <w:sz w:val="20"/>
          <w:szCs w:val="20"/>
          <w:lang w:eastAsia="es-ES"/>
        </w:rPr>
        <w:t xml:space="preserve">Certificación de asistencia de un 80% de las clases efectivamente realizadas sean Teóricas o Prácticas.  </w:t>
      </w:r>
    </w:p>
    <w:p w:rsidR="00A47A5B" w:rsidRPr="00A47A5B" w:rsidRDefault="00A47A5B" w:rsidP="00A47A5B">
      <w:pPr>
        <w:numPr>
          <w:ilvl w:val="0"/>
          <w:numId w:val="1"/>
        </w:numPr>
        <w:spacing w:after="0" w:line="240" w:lineRule="auto"/>
        <w:jc w:val="both"/>
        <w:rPr>
          <w:rFonts w:ascii="Calibri" w:eastAsia="Times New Roman" w:hAnsi="Calibri" w:cs="Calibri"/>
          <w:b/>
          <w:bCs/>
          <w:sz w:val="20"/>
          <w:szCs w:val="20"/>
          <w:u w:val="single"/>
          <w:lang w:val="es-ES" w:eastAsia="es-ES"/>
        </w:rPr>
      </w:pPr>
      <w:r w:rsidRPr="00A47A5B">
        <w:rPr>
          <w:rFonts w:ascii="Calibri" w:eastAsia="Times New Roman" w:hAnsi="Calibri" w:cs="Calibri"/>
          <w:b/>
          <w:bCs/>
          <w:sz w:val="20"/>
          <w:szCs w:val="20"/>
          <w:lang w:val="es-ES" w:eastAsia="es-ES"/>
        </w:rPr>
        <w:t>Calificaciones.</w:t>
      </w:r>
    </w:p>
    <w:p w:rsidR="00A47A5B" w:rsidRPr="00A47A5B" w:rsidRDefault="00A47A5B" w:rsidP="00A47A5B">
      <w:pPr>
        <w:numPr>
          <w:ilvl w:val="1"/>
          <w:numId w:val="2"/>
        </w:numPr>
        <w:spacing w:after="0" w:line="240" w:lineRule="auto"/>
        <w:jc w:val="both"/>
        <w:rPr>
          <w:rFonts w:ascii="Calibri" w:eastAsia="Times New Roman" w:hAnsi="Calibri" w:cs="Calibri"/>
          <w:b/>
          <w:bCs/>
          <w:sz w:val="20"/>
          <w:szCs w:val="20"/>
          <w:u w:val="single"/>
          <w:lang w:val="es-ES" w:eastAsia="es-ES"/>
        </w:rPr>
      </w:pPr>
      <w:r w:rsidRPr="00A47A5B">
        <w:rPr>
          <w:rFonts w:ascii="Calibri" w:eastAsia="Times New Roman" w:hAnsi="Calibri" w:cs="Calibri"/>
          <w:sz w:val="20"/>
          <w:szCs w:val="20"/>
          <w:lang w:val="es-ES" w:eastAsia="es-ES"/>
        </w:rPr>
        <w:lastRenderedPageBreak/>
        <w:t>Certificación de una calificación mínima de 4 puntos en cada instancia de evaluación para la realización de la monografía final.</w:t>
      </w:r>
    </w:p>
    <w:p w:rsidR="00A47A5B" w:rsidRPr="00A47A5B" w:rsidRDefault="00A47A5B" w:rsidP="00A47A5B">
      <w:pPr>
        <w:spacing w:after="0" w:line="240" w:lineRule="auto"/>
        <w:ind w:left="1780"/>
        <w:jc w:val="both"/>
        <w:rPr>
          <w:rFonts w:ascii="Calibri" w:eastAsia="Times New Roman" w:hAnsi="Calibri" w:cs="Calibri"/>
          <w:b/>
          <w:bCs/>
          <w:sz w:val="26"/>
          <w:szCs w:val="26"/>
          <w:u w:val="single"/>
          <w:lang w:val="es-ES" w:eastAsia="es-ES"/>
        </w:rPr>
      </w:pPr>
    </w:p>
    <w:p w:rsidR="00A47A5B" w:rsidRPr="00A47A5B" w:rsidRDefault="00A47A5B" w:rsidP="00A47A5B">
      <w:pPr>
        <w:jc w:val="both"/>
        <w:rPr>
          <w:rFonts w:ascii="Calibri" w:eastAsia="Times New Roman" w:hAnsi="Calibri" w:cs="Calibri"/>
          <w:b/>
          <w:bCs/>
          <w:sz w:val="28"/>
          <w:szCs w:val="28"/>
          <w:lang w:val="es-ES" w:eastAsia="es-ES"/>
        </w:rPr>
      </w:pPr>
    </w:p>
    <w:p w:rsidR="00A47A5B" w:rsidRPr="00A47A5B" w:rsidRDefault="00A47A5B" w:rsidP="00A47A5B">
      <w:pPr>
        <w:jc w:val="both"/>
        <w:rPr>
          <w:rFonts w:ascii="Calibri" w:eastAsia="Times New Roman" w:hAnsi="Calibri" w:cs="Calibri"/>
          <w:lang w:val="es-ES" w:eastAsia="es-ES"/>
        </w:rPr>
      </w:pPr>
    </w:p>
    <w:p w:rsidR="00A47A5B" w:rsidRPr="00A47A5B" w:rsidRDefault="00A47A5B" w:rsidP="00A47A5B">
      <w:pPr>
        <w:keepNext/>
        <w:keepLines/>
        <w:spacing w:before="200" w:after="0"/>
        <w:outlineLvl w:val="1"/>
        <w:rPr>
          <w:rFonts w:ascii="Cambria" w:eastAsia="Times New Roman" w:hAnsi="Cambria" w:cs="Cambria"/>
          <w:b/>
          <w:bCs/>
          <w:color w:val="4F81BD"/>
          <w:sz w:val="26"/>
          <w:szCs w:val="26"/>
          <w:lang w:val="es-ES" w:eastAsia="es-ES"/>
        </w:rPr>
      </w:pPr>
    </w:p>
    <w:p w:rsidR="00A47A5B" w:rsidRPr="00A47A5B" w:rsidRDefault="00A47A5B" w:rsidP="00A47A5B">
      <w:pPr>
        <w:keepNext/>
        <w:keepLines/>
        <w:spacing w:before="200" w:after="0"/>
        <w:outlineLvl w:val="1"/>
        <w:rPr>
          <w:rFonts w:ascii="Cambria" w:eastAsia="Times New Roman" w:hAnsi="Cambria" w:cs="Cambria"/>
          <w:b/>
          <w:bCs/>
          <w:color w:val="4F81BD"/>
          <w:sz w:val="26"/>
          <w:szCs w:val="26"/>
          <w:lang w:val="es-ES" w:eastAsia="es-ES"/>
        </w:rPr>
      </w:pPr>
      <w:bookmarkStart w:id="0" w:name="_GoBack"/>
      <w:bookmarkEnd w:id="0"/>
    </w:p>
    <w:sectPr w:rsidR="00A47A5B" w:rsidRPr="00A47A5B" w:rsidSect="00C417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0C73"/>
    <w:multiLevelType w:val="hybridMultilevel"/>
    <w:tmpl w:val="3458A274"/>
    <w:lvl w:ilvl="0" w:tplc="6EECBBC4">
      <w:start w:val="1"/>
      <w:numFmt w:val="bullet"/>
      <w:lvlText w:val=""/>
      <w:lvlJc w:val="left"/>
      <w:pPr>
        <w:tabs>
          <w:tab w:val="num" w:pos="1040"/>
        </w:tabs>
        <w:ind w:left="1020" w:hanging="340"/>
      </w:pPr>
      <w:rPr>
        <w:rFonts w:ascii="Wingdings" w:hAnsi="Wingdings" w:cs="Wingdings" w:hint="default"/>
        <w:b w:val="0"/>
        <w:bCs w:val="0"/>
        <w:i w:val="0"/>
        <w:iCs w:val="0"/>
        <w:sz w:val="24"/>
        <w:szCs w:val="24"/>
      </w:rPr>
    </w:lvl>
    <w:lvl w:ilvl="1" w:tplc="34E0F234">
      <w:start w:val="1"/>
      <w:numFmt w:val="bullet"/>
      <w:lvlText w:val="o"/>
      <w:lvlJc w:val="left"/>
      <w:pPr>
        <w:tabs>
          <w:tab w:val="num" w:pos="1780"/>
        </w:tabs>
        <w:ind w:left="1780" w:hanging="360"/>
      </w:pPr>
      <w:rPr>
        <w:rFonts w:ascii="Courier New" w:hAnsi="Courier New" w:cs="Courier New" w:hint="default"/>
        <w:b w:val="0"/>
        <w:bCs w:val="0"/>
        <w:i w:val="0"/>
        <w:iCs w:val="0"/>
        <w:sz w:val="20"/>
        <w:szCs w:val="20"/>
      </w:rPr>
    </w:lvl>
    <w:lvl w:ilvl="2" w:tplc="FFFFFFFF">
      <w:start w:val="1"/>
      <w:numFmt w:val="bullet"/>
      <w:lvlText w:val=""/>
      <w:lvlJc w:val="left"/>
      <w:pPr>
        <w:tabs>
          <w:tab w:val="num" w:pos="2500"/>
        </w:tabs>
        <w:ind w:left="2480" w:hanging="340"/>
      </w:pPr>
      <w:rPr>
        <w:rFonts w:ascii="Wingdings" w:hAnsi="Wingdings" w:cs="Wingdings" w:hint="default"/>
        <w:b w:val="0"/>
        <w:bCs w:val="0"/>
        <w:i w:val="0"/>
        <w:iCs w:val="0"/>
        <w:sz w:val="24"/>
        <w:szCs w:val="24"/>
      </w:rPr>
    </w:lvl>
    <w:lvl w:ilvl="3" w:tplc="D604EA7C">
      <w:start w:val="1"/>
      <w:numFmt w:val="bullet"/>
      <w:lvlText w:val=""/>
      <w:lvlJc w:val="left"/>
      <w:pPr>
        <w:tabs>
          <w:tab w:val="num" w:pos="3220"/>
        </w:tabs>
        <w:ind w:left="3220" w:hanging="360"/>
      </w:pPr>
      <w:rPr>
        <w:rFonts w:ascii="Symbol" w:hAnsi="Symbol" w:cs="Symbol" w:hint="default"/>
      </w:rPr>
    </w:lvl>
    <w:lvl w:ilvl="4" w:tplc="3A2E8892">
      <w:start w:val="1"/>
      <w:numFmt w:val="bullet"/>
      <w:lvlText w:val="o"/>
      <w:lvlJc w:val="left"/>
      <w:pPr>
        <w:tabs>
          <w:tab w:val="num" w:pos="3940"/>
        </w:tabs>
        <w:ind w:left="3940" w:hanging="360"/>
      </w:pPr>
      <w:rPr>
        <w:rFonts w:ascii="Courier New" w:hAnsi="Courier New" w:cs="Courier New" w:hint="default"/>
      </w:rPr>
    </w:lvl>
    <w:lvl w:ilvl="5" w:tplc="BD26E958">
      <w:start w:val="1"/>
      <w:numFmt w:val="bullet"/>
      <w:lvlText w:val=""/>
      <w:lvlJc w:val="left"/>
      <w:pPr>
        <w:tabs>
          <w:tab w:val="num" w:pos="4660"/>
        </w:tabs>
        <w:ind w:left="4660" w:hanging="360"/>
      </w:pPr>
      <w:rPr>
        <w:rFonts w:ascii="Wingdings" w:hAnsi="Wingdings" w:cs="Wingdings" w:hint="default"/>
      </w:rPr>
    </w:lvl>
    <w:lvl w:ilvl="6" w:tplc="9320A4F6">
      <w:start w:val="1"/>
      <w:numFmt w:val="bullet"/>
      <w:lvlText w:val=""/>
      <w:lvlJc w:val="left"/>
      <w:pPr>
        <w:tabs>
          <w:tab w:val="num" w:pos="5380"/>
        </w:tabs>
        <w:ind w:left="5380" w:hanging="360"/>
      </w:pPr>
      <w:rPr>
        <w:rFonts w:ascii="Symbol" w:hAnsi="Symbol" w:cs="Symbol" w:hint="default"/>
      </w:rPr>
    </w:lvl>
    <w:lvl w:ilvl="7" w:tplc="019C0024">
      <w:start w:val="1"/>
      <w:numFmt w:val="bullet"/>
      <w:lvlText w:val="o"/>
      <w:lvlJc w:val="left"/>
      <w:pPr>
        <w:tabs>
          <w:tab w:val="num" w:pos="6100"/>
        </w:tabs>
        <w:ind w:left="6100" w:hanging="360"/>
      </w:pPr>
      <w:rPr>
        <w:rFonts w:ascii="Courier New" w:hAnsi="Courier New" w:cs="Courier New" w:hint="default"/>
      </w:rPr>
    </w:lvl>
    <w:lvl w:ilvl="8" w:tplc="BBD453D0">
      <w:start w:val="1"/>
      <w:numFmt w:val="bullet"/>
      <w:lvlText w:val=""/>
      <w:lvlJc w:val="left"/>
      <w:pPr>
        <w:tabs>
          <w:tab w:val="num" w:pos="6820"/>
        </w:tabs>
        <w:ind w:left="6820" w:hanging="360"/>
      </w:pPr>
      <w:rPr>
        <w:rFonts w:ascii="Wingdings" w:hAnsi="Wingdings" w:cs="Wingdings" w:hint="default"/>
      </w:rPr>
    </w:lvl>
  </w:abstractNum>
  <w:abstractNum w:abstractNumId="1">
    <w:nsid w:val="1EEB44BC"/>
    <w:multiLevelType w:val="hybridMultilevel"/>
    <w:tmpl w:val="E95621D4"/>
    <w:lvl w:ilvl="0" w:tplc="FFFFFFFF">
      <w:start w:val="1"/>
      <w:numFmt w:val="bullet"/>
      <w:lvlText w:val=""/>
      <w:lvlJc w:val="left"/>
      <w:pPr>
        <w:tabs>
          <w:tab w:val="num" w:pos="1040"/>
        </w:tabs>
        <w:ind w:left="1020" w:hanging="340"/>
      </w:pPr>
      <w:rPr>
        <w:rFonts w:ascii="Wingdings" w:hAnsi="Wingdings" w:cs="Wingdings" w:hint="default"/>
        <w:b w:val="0"/>
        <w:bCs w:val="0"/>
        <w:i w:val="0"/>
        <w:iCs w:val="0"/>
        <w:sz w:val="24"/>
        <w:szCs w:val="24"/>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A5B"/>
    <w:rsid w:val="000F74FD"/>
    <w:rsid w:val="001E5BEF"/>
    <w:rsid w:val="00506F58"/>
    <w:rsid w:val="006968FC"/>
    <w:rsid w:val="009865D1"/>
    <w:rsid w:val="00A47A5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2560</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26235068</cp:lastModifiedBy>
  <cp:revision>2</cp:revision>
  <dcterms:created xsi:type="dcterms:W3CDTF">2015-10-30T17:59:00Z</dcterms:created>
  <dcterms:modified xsi:type="dcterms:W3CDTF">2015-10-30T17:59:00Z</dcterms:modified>
</cp:coreProperties>
</file>