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51" w:rsidRDefault="002F4751">
      <w:pPr>
        <w:rPr>
          <w:b/>
          <w:sz w:val="20"/>
          <w:szCs w:val="20"/>
        </w:rPr>
      </w:pPr>
      <w:r>
        <w:rPr>
          <w:b/>
          <w:sz w:val="20"/>
          <w:szCs w:val="20"/>
        </w:rPr>
        <w:t>Teorías sobre el poder – Cátedra García Valverde</w:t>
      </w:r>
      <w:bookmarkStart w:id="0" w:name="_GoBack"/>
      <w:bookmarkEnd w:id="0"/>
    </w:p>
    <w:p w:rsidR="00D051EB" w:rsidRDefault="00BF5E1A">
      <w:pPr>
        <w:rPr>
          <w:b/>
          <w:sz w:val="20"/>
          <w:szCs w:val="20"/>
        </w:rPr>
      </w:pPr>
      <w:r w:rsidRPr="00D051EB">
        <w:rPr>
          <w:b/>
          <w:sz w:val="20"/>
          <w:szCs w:val="20"/>
        </w:rPr>
        <w:t xml:space="preserve">Contenidos programáticos y bibliografía </w:t>
      </w:r>
      <w:r w:rsidR="00D051EB">
        <w:rPr>
          <w:b/>
          <w:sz w:val="20"/>
          <w:szCs w:val="20"/>
        </w:rPr>
        <w:t>específica</w:t>
      </w:r>
    </w:p>
    <w:p w:rsidR="00236924" w:rsidRPr="00746C7F" w:rsidRDefault="00455DAD">
      <w:pPr>
        <w:rPr>
          <w:b/>
          <w:color w:val="auto"/>
          <w:sz w:val="20"/>
          <w:szCs w:val="20"/>
        </w:rPr>
      </w:pPr>
      <w:r w:rsidRPr="00746C7F">
        <w:rPr>
          <w:b/>
          <w:color w:val="auto"/>
          <w:sz w:val="20"/>
          <w:szCs w:val="20"/>
        </w:rPr>
        <w:t xml:space="preserve">Unidad </w:t>
      </w:r>
      <w:r w:rsidR="00847D35" w:rsidRPr="00746C7F">
        <w:rPr>
          <w:b/>
          <w:color w:val="auto"/>
          <w:sz w:val="20"/>
          <w:szCs w:val="20"/>
        </w:rPr>
        <w:t>I – Las definiciones de poder</w:t>
      </w:r>
    </w:p>
    <w:p w:rsidR="0089582B" w:rsidRPr="00746C7F" w:rsidRDefault="0089582B" w:rsidP="00896926">
      <w:pPr>
        <w:spacing w:after="0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>Definiciones tradicionales de poder</w:t>
      </w:r>
      <w:r w:rsidRPr="00746C7F">
        <w:rPr>
          <w:b/>
          <w:color w:val="auto"/>
          <w:sz w:val="20"/>
          <w:szCs w:val="20"/>
        </w:rPr>
        <w:t xml:space="preserve">. </w:t>
      </w:r>
      <w:r w:rsidR="006E5999" w:rsidRPr="00746C7F">
        <w:rPr>
          <w:color w:val="auto"/>
          <w:sz w:val="20"/>
          <w:szCs w:val="20"/>
        </w:rPr>
        <w:t>Poder como la probabilidad de hacer algo sin resistencia</w:t>
      </w:r>
      <w:r w:rsidRPr="00746C7F">
        <w:rPr>
          <w:color w:val="auto"/>
          <w:sz w:val="20"/>
          <w:szCs w:val="20"/>
        </w:rPr>
        <w:t>. Poder como dominación actual sobre el otro.</w:t>
      </w:r>
      <w:r w:rsidR="00A52F0E" w:rsidRPr="00746C7F">
        <w:rPr>
          <w:color w:val="auto"/>
          <w:sz w:val="20"/>
          <w:szCs w:val="20"/>
        </w:rPr>
        <w:t xml:space="preserve"> Poder como espacio de aparición.</w:t>
      </w:r>
      <w:r w:rsidRPr="00746C7F">
        <w:rPr>
          <w:color w:val="auto"/>
          <w:sz w:val="20"/>
          <w:szCs w:val="20"/>
        </w:rPr>
        <w:t xml:space="preserve"> </w:t>
      </w:r>
      <w:r w:rsidR="001B3FCC" w:rsidRPr="00746C7F">
        <w:rPr>
          <w:color w:val="auto"/>
          <w:sz w:val="20"/>
          <w:szCs w:val="20"/>
        </w:rPr>
        <w:t xml:space="preserve">Poder como éxito político. </w:t>
      </w:r>
      <w:r w:rsidRPr="00746C7F">
        <w:rPr>
          <w:color w:val="auto"/>
          <w:sz w:val="20"/>
          <w:szCs w:val="20"/>
        </w:rPr>
        <w:t xml:space="preserve">Poder como un concepto inherentemente controversial. </w:t>
      </w:r>
    </w:p>
    <w:p w:rsidR="00896926" w:rsidRPr="00746C7F" w:rsidRDefault="00896926" w:rsidP="00896926">
      <w:pPr>
        <w:spacing w:after="0"/>
        <w:rPr>
          <w:color w:val="auto"/>
          <w:sz w:val="20"/>
          <w:szCs w:val="20"/>
        </w:rPr>
      </w:pPr>
    </w:p>
    <w:p w:rsidR="00746C7F" w:rsidRPr="00746C7F" w:rsidRDefault="00746C7F" w:rsidP="00112FBE">
      <w:pPr>
        <w:spacing w:after="0"/>
        <w:ind w:left="284" w:hanging="284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obligatoria</w:t>
      </w:r>
    </w:p>
    <w:p w:rsidR="00A52F0E" w:rsidRPr="00746C7F" w:rsidRDefault="00A52F0E" w:rsidP="00112FBE">
      <w:pPr>
        <w:spacing w:after="0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Arendt</w:t>
      </w:r>
      <w:proofErr w:type="spellEnd"/>
      <w:r w:rsidRPr="00746C7F">
        <w:rPr>
          <w:color w:val="auto"/>
          <w:sz w:val="20"/>
          <w:szCs w:val="20"/>
        </w:rPr>
        <w:t>, H.  (2005</w:t>
      </w:r>
      <w:r w:rsidRPr="00746C7F">
        <w:rPr>
          <w:i/>
          <w:color w:val="auto"/>
          <w:sz w:val="20"/>
          <w:szCs w:val="20"/>
        </w:rPr>
        <w:t>). Sobre la violencia</w:t>
      </w:r>
      <w:r w:rsidRPr="00746C7F">
        <w:rPr>
          <w:color w:val="auto"/>
          <w:sz w:val="20"/>
          <w:szCs w:val="20"/>
        </w:rPr>
        <w:t>. Madrid: Alianza, cap.2, pp. 48-78</w:t>
      </w:r>
    </w:p>
    <w:p w:rsidR="0089582B" w:rsidRPr="00746C7F" w:rsidRDefault="0089582B" w:rsidP="00112FBE">
      <w:pPr>
        <w:spacing w:after="0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Dahl</w:t>
      </w:r>
      <w:proofErr w:type="spellEnd"/>
      <w:r w:rsidRPr="00746C7F">
        <w:rPr>
          <w:color w:val="auto"/>
          <w:sz w:val="20"/>
          <w:szCs w:val="20"/>
        </w:rPr>
        <w:t xml:space="preserve">, R. (1979). “El concepto de poder”. En D. </w:t>
      </w:r>
      <w:proofErr w:type="spellStart"/>
      <w:r w:rsidRPr="00746C7F">
        <w:rPr>
          <w:color w:val="auto"/>
          <w:sz w:val="20"/>
          <w:szCs w:val="20"/>
        </w:rPr>
        <w:t>Sills</w:t>
      </w:r>
      <w:proofErr w:type="spellEnd"/>
      <w:r w:rsidRPr="00746C7F">
        <w:rPr>
          <w:color w:val="auto"/>
          <w:sz w:val="20"/>
          <w:szCs w:val="20"/>
        </w:rPr>
        <w:t xml:space="preserve"> (Dir.) </w:t>
      </w:r>
      <w:r w:rsidRPr="00746C7F">
        <w:rPr>
          <w:i/>
          <w:iCs w:val="0"/>
          <w:color w:val="auto"/>
          <w:sz w:val="20"/>
          <w:szCs w:val="20"/>
        </w:rPr>
        <w:t>Enciclopedia internacional de las ciencias sociales.</w:t>
      </w:r>
      <w:r w:rsidRPr="00746C7F">
        <w:rPr>
          <w:color w:val="auto"/>
          <w:sz w:val="20"/>
          <w:szCs w:val="20"/>
        </w:rPr>
        <w:t xml:space="preserve"> Madrid: Aguilar</w:t>
      </w:r>
    </w:p>
    <w:p w:rsidR="0089582B" w:rsidRPr="00746C7F" w:rsidRDefault="0089582B" w:rsidP="00112FBE">
      <w:pPr>
        <w:spacing w:after="0"/>
        <w:ind w:left="284" w:hanging="284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Foucault, M. (1988), “El sujeto y el poder”, </w:t>
      </w:r>
      <w:r w:rsidRPr="00746C7F">
        <w:rPr>
          <w:i/>
          <w:iCs w:val="0"/>
          <w:color w:val="auto"/>
          <w:sz w:val="20"/>
          <w:szCs w:val="20"/>
        </w:rPr>
        <w:t>Revista Mexicana de Sociología</w:t>
      </w:r>
      <w:r w:rsidRPr="00746C7F">
        <w:rPr>
          <w:color w:val="auto"/>
          <w:sz w:val="20"/>
          <w:szCs w:val="20"/>
        </w:rPr>
        <w:t>, 50 (3), pp. 3-20.</w:t>
      </w:r>
    </w:p>
    <w:p w:rsidR="001B3FCC" w:rsidRPr="00746C7F" w:rsidRDefault="001B3FCC" w:rsidP="00112FBE">
      <w:pPr>
        <w:spacing w:after="0"/>
        <w:ind w:left="284" w:hanging="284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>Maquiavelo, N</w:t>
      </w:r>
      <w:r w:rsidRPr="00746C7F">
        <w:rPr>
          <w:i/>
          <w:color w:val="auto"/>
          <w:sz w:val="20"/>
          <w:szCs w:val="20"/>
        </w:rPr>
        <w:t>.</w:t>
      </w:r>
      <w:r w:rsidR="00112FBE" w:rsidRPr="00746C7F">
        <w:rPr>
          <w:i/>
          <w:color w:val="auto"/>
          <w:sz w:val="20"/>
          <w:szCs w:val="20"/>
        </w:rPr>
        <w:t xml:space="preserve"> </w:t>
      </w:r>
      <w:r w:rsidR="00112FBE" w:rsidRPr="00746C7F">
        <w:rPr>
          <w:color w:val="auto"/>
          <w:sz w:val="20"/>
          <w:szCs w:val="20"/>
        </w:rPr>
        <w:t>(1986)</w:t>
      </w:r>
      <w:r w:rsidRPr="00746C7F">
        <w:rPr>
          <w:i/>
          <w:color w:val="auto"/>
          <w:sz w:val="20"/>
          <w:szCs w:val="20"/>
        </w:rPr>
        <w:t xml:space="preserve"> El Príncipe</w:t>
      </w:r>
      <w:r w:rsidR="00112FBE" w:rsidRPr="00746C7F">
        <w:rPr>
          <w:color w:val="auto"/>
          <w:sz w:val="20"/>
          <w:szCs w:val="20"/>
        </w:rPr>
        <w:t>.</w:t>
      </w:r>
      <w:r w:rsidRPr="00746C7F">
        <w:rPr>
          <w:color w:val="auto"/>
          <w:sz w:val="20"/>
          <w:szCs w:val="20"/>
        </w:rPr>
        <w:t xml:space="preserve"> </w:t>
      </w:r>
      <w:r w:rsidR="00112FBE" w:rsidRPr="00746C7F">
        <w:rPr>
          <w:color w:val="auto"/>
          <w:sz w:val="20"/>
          <w:szCs w:val="20"/>
        </w:rPr>
        <w:t xml:space="preserve">Madrid: Alianza, </w:t>
      </w:r>
      <w:r w:rsidRPr="00746C7F">
        <w:rPr>
          <w:color w:val="auto"/>
          <w:sz w:val="20"/>
          <w:szCs w:val="20"/>
        </w:rPr>
        <w:t>caps. 15-21, 25</w:t>
      </w:r>
    </w:p>
    <w:p w:rsidR="001B3FCC" w:rsidRPr="00746C7F" w:rsidRDefault="001B3FCC" w:rsidP="00112FBE">
      <w:pPr>
        <w:spacing w:after="0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Lukes</w:t>
      </w:r>
      <w:proofErr w:type="spellEnd"/>
      <w:r w:rsidRPr="00746C7F">
        <w:rPr>
          <w:color w:val="auto"/>
          <w:sz w:val="20"/>
          <w:szCs w:val="20"/>
        </w:rPr>
        <w:t xml:space="preserve">, S. (2007). </w:t>
      </w:r>
      <w:r w:rsidRPr="00746C7F">
        <w:rPr>
          <w:i/>
          <w:iCs w:val="0"/>
          <w:color w:val="auto"/>
          <w:sz w:val="20"/>
          <w:szCs w:val="20"/>
        </w:rPr>
        <w:t>El Poder. Un enfoque radical</w:t>
      </w:r>
      <w:r w:rsidRPr="00746C7F">
        <w:rPr>
          <w:color w:val="auto"/>
          <w:sz w:val="20"/>
          <w:szCs w:val="20"/>
        </w:rPr>
        <w:t>. México: Siglo XX, cap. 1, pp. 1-22.</w:t>
      </w:r>
    </w:p>
    <w:p w:rsidR="0089582B" w:rsidRPr="00746C7F" w:rsidRDefault="0089582B" w:rsidP="00112FBE">
      <w:pPr>
        <w:spacing w:after="0"/>
        <w:ind w:left="284" w:hanging="284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Weber, Max (2012) </w:t>
      </w:r>
      <w:r w:rsidRPr="00746C7F">
        <w:rPr>
          <w:i/>
          <w:iCs w:val="0"/>
          <w:color w:val="auto"/>
          <w:sz w:val="20"/>
          <w:szCs w:val="20"/>
        </w:rPr>
        <w:t xml:space="preserve">Economía y sociedad. </w:t>
      </w:r>
      <w:r w:rsidRPr="00746C7F">
        <w:rPr>
          <w:color w:val="auto"/>
          <w:sz w:val="20"/>
          <w:szCs w:val="20"/>
        </w:rPr>
        <w:t>México: FCE, pp. 18-45.</w:t>
      </w:r>
    </w:p>
    <w:p w:rsidR="00896926" w:rsidRPr="00746C7F" w:rsidRDefault="00896926" w:rsidP="00896926">
      <w:pPr>
        <w:spacing w:after="0"/>
        <w:rPr>
          <w:color w:val="auto"/>
          <w:sz w:val="20"/>
          <w:szCs w:val="20"/>
        </w:rPr>
      </w:pPr>
    </w:p>
    <w:p w:rsidR="00896926" w:rsidRPr="00746C7F" w:rsidRDefault="00896926" w:rsidP="00896926">
      <w:pPr>
        <w:spacing w:after="0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secundaria</w:t>
      </w:r>
    </w:p>
    <w:p w:rsidR="005D45CE" w:rsidRPr="00746C7F" w:rsidRDefault="005D45CE" w:rsidP="00112FBE">
      <w:pPr>
        <w:spacing w:after="0"/>
        <w:ind w:left="284" w:hanging="284"/>
        <w:jc w:val="both"/>
        <w:rPr>
          <w:color w:val="auto"/>
          <w:sz w:val="20"/>
          <w:szCs w:val="20"/>
          <w:lang w:val="en-US"/>
        </w:rPr>
      </w:pPr>
      <w:r w:rsidRPr="00746C7F">
        <w:rPr>
          <w:color w:val="auto"/>
          <w:sz w:val="20"/>
          <w:szCs w:val="20"/>
          <w:lang w:val="en-US"/>
        </w:rPr>
        <w:t xml:space="preserve">Allen, A. (2018). </w:t>
      </w:r>
      <w:proofErr w:type="gramStart"/>
      <w:r w:rsidRPr="00746C7F">
        <w:rPr>
          <w:color w:val="auto"/>
          <w:sz w:val="20"/>
          <w:szCs w:val="20"/>
          <w:lang w:val="en-US"/>
        </w:rPr>
        <w:t>'Feminist Perspectives on Power'.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746C7F">
        <w:rPr>
          <w:color w:val="auto"/>
          <w:sz w:val="20"/>
          <w:szCs w:val="20"/>
          <w:lang w:val="en-US"/>
        </w:rPr>
        <w:t>En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E.N. </w:t>
      </w:r>
      <w:proofErr w:type="spellStart"/>
      <w:r w:rsidRPr="00746C7F">
        <w:rPr>
          <w:color w:val="auto"/>
          <w:sz w:val="20"/>
          <w:szCs w:val="20"/>
          <w:lang w:val="en-US"/>
        </w:rPr>
        <w:t>Zalta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(Ed.), </w:t>
      </w:r>
      <w:r w:rsidRPr="00746C7F">
        <w:rPr>
          <w:i/>
          <w:iCs w:val="0"/>
          <w:color w:val="auto"/>
          <w:sz w:val="20"/>
          <w:szCs w:val="20"/>
          <w:lang w:val="en-US"/>
        </w:rPr>
        <w:t xml:space="preserve">Stanford Encyclopedia of </w:t>
      </w:r>
      <w:proofErr w:type="gramStart"/>
      <w:r w:rsidRPr="00746C7F">
        <w:rPr>
          <w:i/>
          <w:iCs w:val="0"/>
          <w:color w:val="auto"/>
          <w:sz w:val="20"/>
          <w:szCs w:val="20"/>
          <w:lang w:val="en-US"/>
        </w:rPr>
        <w:t xml:space="preserve">Philosophy  </w:t>
      </w:r>
      <w:r w:rsidRPr="00746C7F">
        <w:rPr>
          <w:color w:val="auto"/>
          <w:sz w:val="20"/>
          <w:szCs w:val="20"/>
          <w:lang w:val="en-US"/>
        </w:rPr>
        <w:t>[</w:t>
      </w:r>
      <w:proofErr w:type="gramEnd"/>
      <w:r w:rsidRPr="00746C7F">
        <w:rPr>
          <w:color w:val="auto"/>
          <w:sz w:val="20"/>
          <w:szCs w:val="20"/>
          <w:lang w:val="en-US"/>
        </w:rPr>
        <w:t>Online]. Available at: http://plato.stanford.edu/entries/feminist-power (Accessed: 22/07/018)</w:t>
      </w:r>
    </w:p>
    <w:p w:rsidR="00112FBE" w:rsidRPr="00746C7F" w:rsidRDefault="00112FBE" w:rsidP="00112FBE">
      <w:pPr>
        <w:spacing w:after="0"/>
        <w:ind w:left="284" w:hanging="284"/>
        <w:jc w:val="both"/>
        <w:rPr>
          <w:color w:val="auto"/>
          <w:sz w:val="20"/>
          <w:szCs w:val="20"/>
          <w:lang w:val="en-US"/>
        </w:rPr>
      </w:pPr>
      <w:proofErr w:type="spellStart"/>
      <w:r w:rsidRPr="00746C7F">
        <w:rPr>
          <w:color w:val="auto"/>
          <w:sz w:val="20"/>
          <w:szCs w:val="20"/>
        </w:rPr>
        <w:t>Bobbio</w:t>
      </w:r>
      <w:proofErr w:type="spellEnd"/>
      <w:r w:rsidRPr="00746C7F">
        <w:rPr>
          <w:color w:val="auto"/>
          <w:sz w:val="20"/>
          <w:szCs w:val="20"/>
        </w:rPr>
        <w:t xml:space="preserve">, N., </w:t>
      </w:r>
      <w:proofErr w:type="spellStart"/>
      <w:r w:rsidRPr="00746C7F">
        <w:rPr>
          <w:color w:val="auto"/>
          <w:sz w:val="20"/>
          <w:szCs w:val="20"/>
        </w:rPr>
        <w:t>Bovero</w:t>
      </w:r>
      <w:proofErr w:type="spellEnd"/>
      <w:r w:rsidRPr="00746C7F">
        <w:rPr>
          <w:color w:val="auto"/>
          <w:sz w:val="20"/>
          <w:szCs w:val="20"/>
        </w:rPr>
        <w:t xml:space="preserve">, M. (1985). </w:t>
      </w:r>
      <w:r w:rsidRPr="00746C7F">
        <w:rPr>
          <w:i/>
          <w:color w:val="auto"/>
          <w:sz w:val="20"/>
          <w:szCs w:val="20"/>
        </w:rPr>
        <w:t>Origen y Fundamentos del Poder Político</w:t>
      </w:r>
      <w:r w:rsidRPr="00746C7F">
        <w:rPr>
          <w:color w:val="auto"/>
          <w:sz w:val="20"/>
          <w:szCs w:val="20"/>
        </w:rPr>
        <w:t xml:space="preserve">. </w:t>
      </w:r>
      <w:r w:rsidRPr="00746C7F">
        <w:rPr>
          <w:color w:val="auto"/>
          <w:sz w:val="20"/>
          <w:szCs w:val="20"/>
          <w:lang w:val="en-US"/>
        </w:rPr>
        <w:t xml:space="preserve">México: </w:t>
      </w:r>
      <w:proofErr w:type="spellStart"/>
      <w:r w:rsidRPr="00746C7F">
        <w:rPr>
          <w:color w:val="auto"/>
          <w:sz w:val="20"/>
          <w:szCs w:val="20"/>
          <w:lang w:val="en-US"/>
        </w:rPr>
        <w:t>Grijalbo</w:t>
      </w:r>
      <w:proofErr w:type="spellEnd"/>
      <w:r w:rsidRPr="00746C7F">
        <w:rPr>
          <w:color w:val="auto"/>
          <w:sz w:val="20"/>
          <w:szCs w:val="20"/>
          <w:lang w:val="en-US"/>
        </w:rPr>
        <w:t>, pp. 37-64</w:t>
      </w:r>
    </w:p>
    <w:p w:rsidR="005D45CE" w:rsidRPr="00746C7F" w:rsidRDefault="005D45CE" w:rsidP="00112FBE">
      <w:pPr>
        <w:spacing w:after="0"/>
        <w:ind w:left="284" w:hanging="284"/>
        <w:jc w:val="both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Haugaard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</w:t>
      </w:r>
      <w:proofErr w:type="spellStart"/>
      <w:r w:rsidRPr="00746C7F">
        <w:rPr>
          <w:color w:val="auto"/>
          <w:sz w:val="20"/>
          <w:szCs w:val="20"/>
          <w:lang w:val="en-US"/>
        </w:rPr>
        <w:t>M.Clegg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S. (2009). </w:t>
      </w:r>
      <w:proofErr w:type="gramStart"/>
      <w:r w:rsidRPr="00746C7F">
        <w:rPr>
          <w:i/>
          <w:color w:val="auto"/>
          <w:sz w:val="20"/>
          <w:szCs w:val="20"/>
          <w:lang w:val="en-US"/>
        </w:rPr>
        <w:t>The SAGE Handbook of Power</w:t>
      </w:r>
      <w:r w:rsidRPr="00746C7F">
        <w:rPr>
          <w:color w:val="auto"/>
          <w:sz w:val="20"/>
          <w:szCs w:val="20"/>
          <w:lang w:val="en-US"/>
        </w:rPr>
        <w:t>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r w:rsidRPr="00746C7F">
        <w:rPr>
          <w:color w:val="auto"/>
          <w:sz w:val="20"/>
          <w:szCs w:val="20"/>
        </w:rPr>
        <w:t xml:space="preserve">London: </w:t>
      </w:r>
      <w:proofErr w:type="spellStart"/>
      <w:r w:rsidRPr="00746C7F">
        <w:rPr>
          <w:color w:val="auto"/>
          <w:sz w:val="20"/>
          <w:szCs w:val="20"/>
        </w:rPr>
        <w:t>Sage</w:t>
      </w:r>
      <w:proofErr w:type="spellEnd"/>
      <w:r w:rsidRPr="00746C7F">
        <w:rPr>
          <w:color w:val="auto"/>
          <w:sz w:val="20"/>
          <w:szCs w:val="20"/>
        </w:rPr>
        <w:t>, pp. 1-24</w:t>
      </w:r>
    </w:p>
    <w:p w:rsidR="00896926" w:rsidRPr="00746C7F" w:rsidRDefault="00896926" w:rsidP="00896926">
      <w:pPr>
        <w:spacing w:after="0"/>
        <w:rPr>
          <w:color w:val="auto"/>
          <w:sz w:val="20"/>
          <w:szCs w:val="20"/>
        </w:rPr>
      </w:pPr>
    </w:p>
    <w:p w:rsidR="00896926" w:rsidRPr="00746C7F" w:rsidRDefault="006E5999" w:rsidP="00A52F0E">
      <w:pPr>
        <w:spacing w:after="0"/>
        <w:jc w:val="both"/>
        <w:rPr>
          <w:b/>
          <w:color w:val="auto"/>
          <w:sz w:val="20"/>
          <w:szCs w:val="20"/>
        </w:rPr>
      </w:pPr>
      <w:r w:rsidRPr="00746C7F">
        <w:rPr>
          <w:b/>
          <w:color w:val="auto"/>
          <w:sz w:val="20"/>
          <w:szCs w:val="20"/>
        </w:rPr>
        <w:t>Unidad II</w:t>
      </w:r>
      <w:r w:rsidR="009C659B" w:rsidRPr="00746C7F">
        <w:rPr>
          <w:b/>
          <w:color w:val="auto"/>
          <w:sz w:val="20"/>
          <w:szCs w:val="20"/>
        </w:rPr>
        <w:t xml:space="preserve"> – ¿El contrato como mecanismo racional </w:t>
      </w:r>
      <w:r w:rsidR="00896926" w:rsidRPr="00746C7F">
        <w:rPr>
          <w:b/>
          <w:color w:val="auto"/>
          <w:sz w:val="20"/>
          <w:szCs w:val="20"/>
        </w:rPr>
        <w:t>para</w:t>
      </w:r>
      <w:r w:rsidR="009C659B" w:rsidRPr="00746C7F">
        <w:rPr>
          <w:b/>
          <w:color w:val="auto"/>
          <w:sz w:val="20"/>
          <w:szCs w:val="20"/>
        </w:rPr>
        <w:t xml:space="preserve"> </w:t>
      </w:r>
      <w:r w:rsidR="0064631C" w:rsidRPr="00746C7F">
        <w:rPr>
          <w:b/>
          <w:color w:val="auto"/>
          <w:sz w:val="20"/>
          <w:szCs w:val="20"/>
        </w:rPr>
        <w:t>contrarrestar el poder?</w:t>
      </w:r>
    </w:p>
    <w:p w:rsidR="00896926" w:rsidRPr="00746C7F" w:rsidRDefault="00896926" w:rsidP="00A52F0E">
      <w:pPr>
        <w:spacing w:after="0"/>
        <w:jc w:val="both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>La tradición liberal y el contrato e</w:t>
      </w:r>
      <w:r w:rsidR="00A52F0E" w:rsidRPr="00746C7F">
        <w:rPr>
          <w:color w:val="auto"/>
          <w:sz w:val="20"/>
          <w:szCs w:val="20"/>
        </w:rPr>
        <w:t>ntre desiguales. La importancia de la promesa y el contrato en la teoría moral. El contrato como el resultado de un cálculo racional de autodefensa.</w:t>
      </w:r>
      <w:r w:rsidR="00614F43" w:rsidRPr="00746C7F">
        <w:rPr>
          <w:color w:val="auto"/>
          <w:sz w:val="20"/>
          <w:szCs w:val="20"/>
        </w:rPr>
        <w:t xml:space="preserve"> El dilema del prisionero como contexto del contrato.</w:t>
      </w:r>
      <w:r w:rsidR="00A52F0E" w:rsidRPr="00746C7F">
        <w:rPr>
          <w:color w:val="auto"/>
          <w:sz w:val="20"/>
          <w:szCs w:val="20"/>
        </w:rPr>
        <w:t xml:space="preserve"> Restricciones morales al poder de negociación desigual. </w:t>
      </w:r>
    </w:p>
    <w:p w:rsidR="00746C7F" w:rsidRDefault="00746C7F" w:rsidP="00746C7F">
      <w:pPr>
        <w:spacing w:after="0"/>
        <w:ind w:left="284" w:hanging="284"/>
        <w:rPr>
          <w:color w:val="auto"/>
          <w:sz w:val="20"/>
          <w:szCs w:val="20"/>
          <w:u w:val="single"/>
        </w:rPr>
      </w:pPr>
    </w:p>
    <w:p w:rsidR="00746C7F" w:rsidRPr="00746C7F" w:rsidRDefault="00746C7F" w:rsidP="00746C7F">
      <w:pPr>
        <w:spacing w:after="0"/>
        <w:ind w:left="284" w:hanging="284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obligatoria</w:t>
      </w:r>
    </w:p>
    <w:p w:rsidR="0064631C" w:rsidRPr="00746C7F" w:rsidRDefault="00FD49F8" w:rsidP="00112FBE">
      <w:pPr>
        <w:spacing w:after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746C7F">
        <w:rPr>
          <w:rFonts w:cs="Arial"/>
          <w:color w:val="auto"/>
          <w:sz w:val="20"/>
          <w:szCs w:val="20"/>
        </w:rPr>
        <w:t>Buchanan, J. (2010).</w:t>
      </w:r>
      <w:r w:rsidRPr="00746C7F">
        <w:rPr>
          <w:rFonts w:cs="Arial"/>
          <w:i/>
          <w:color w:val="auto"/>
          <w:sz w:val="20"/>
          <w:szCs w:val="20"/>
        </w:rPr>
        <w:t xml:space="preserve"> </w:t>
      </w:r>
      <w:r w:rsidR="0064631C" w:rsidRPr="00746C7F">
        <w:rPr>
          <w:rFonts w:cs="Arial"/>
          <w:i/>
          <w:color w:val="auto"/>
          <w:sz w:val="20"/>
          <w:szCs w:val="20"/>
        </w:rPr>
        <w:t>Los límites de la libertad. Entre la anarquía y el Leviatán</w:t>
      </w:r>
      <w:r w:rsidRPr="00746C7F">
        <w:rPr>
          <w:rFonts w:cs="Arial"/>
          <w:color w:val="auto"/>
          <w:sz w:val="20"/>
          <w:szCs w:val="20"/>
        </w:rPr>
        <w:t>.</w:t>
      </w:r>
      <w:r w:rsidR="0064631C" w:rsidRPr="00746C7F">
        <w:rPr>
          <w:rFonts w:cs="Arial"/>
          <w:color w:val="auto"/>
          <w:sz w:val="20"/>
          <w:szCs w:val="20"/>
        </w:rPr>
        <w:t xml:space="preserve"> Buenos Aires</w:t>
      </w:r>
      <w:r w:rsidRPr="00746C7F">
        <w:rPr>
          <w:rFonts w:cs="Arial"/>
          <w:color w:val="auto"/>
          <w:sz w:val="20"/>
          <w:szCs w:val="20"/>
        </w:rPr>
        <w:t>:</w:t>
      </w:r>
      <w:r w:rsidR="0064631C" w:rsidRPr="00746C7F">
        <w:rPr>
          <w:rFonts w:cs="Arial"/>
          <w:color w:val="auto"/>
          <w:sz w:val="20"/>
          <w:szCs w:val="20"/>
        </w:rPr>
        <w:t xml:space="preserve"> </w:t>
      </w:r>
      <w:proofErr w:type="spellStart"/>
      <w:r w:rsidR="0064631C" w:rsidRPr="00746C7F">
        <w:rPr>
          <w:rFonts w:cs="Arial"/>
          <w:color w:val="auto"/>
          <w:sz w:val="20"/>
          <w:szCs w:val="20"/>
        </w:rPr>
        <w:t>Katz</w:t>
      </w:r>
      <w:proofErr w:type="spellEnd"/>
      <w:r w:rsidR="0064631C" w:rsidRPr="00746C7F">
        <w:rPr>
          <w:rFonts w:cs="Arial"/>
          <w:color w:val="auto"/>
          <w:sz w:val="20"/>
          <w:szCs w:val="20"/>
        </w:rPr>
        <w:t xml:space="preserve"> Editores</w:t>
      </w:r>
      <w:r w:rsidR="009C659B" w:rsidRPr="00746C7F">
        <w:rPr>
          <w:rFonts w:cs="Arial"/>
          <w:color w:val="auto"/>
          <w:sz w:val="20"/>
          <w:szCs w:val="20"/>
        </w:rPr>
        <w:t>,</w:t>
      </w:r>
      <w:r w:rsidRPr="00746C7F">
        <w:rPr>
          <w:rFonts w:cs="Arial"/>
          <w:color w:val="auto"/>
          <w:sz w:val="20"/>
          <w:szCs w:val="20"/>
        </w:rPr>
        <w:t xml:space="preserve"> </w:t>
      </w:r>
      <w:r w:rsidR="009C659B" w:rsidRPr="00746C7F">
        <w:rPr>
          <w:rFonts w:cs="Arial"/>
          <w:color w:val="auto"/>
          <w:sz w:val="20"/>
          <w:szCs w:val="20"/>
        </w:rPr>
        <w:t>c</w:t>
      </w:r>
      <w:r w:rsidRPr="00746C7F">
        <w:rPr>
          <w:rFonts w:cs="Arial"/>
          <w:color w:val="auto"/>
          <w:sz w:val="20"/>
          <w:szCs w:val="20"/>
        </w:rPr>
        <w:t>aps.</w:t>
      </w:r>
      <w:r w:rsidR="009C659B" w:rsidRPr="00746C7F">
        <w:rPr>
          <w:rFonts w:cs="Arial"/>
          <w:color w:val="auto"/>
          <w:sz w:val="20"/>
          <w:szCs w:val="20"/>
        </w:rPr>
        <w:t xml:space="preserve"> 1 y 2, pp. 17-62</w:t>
      </w:r>
    </w:p>
    <w:p w:rsidR="0064631C" w:rsidRPr="00746C7F" w:rsidRDefault="0064631C" w:rsidP="00112FBE">
      <w:pPr>
        <w:spacing w:after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proofErr w:type="spellStart"/>
      <w:r w:rsidRPr="00746C7F">
        <w:rPr>
          <w:rFonts w:cs="Arial"/>
          <w:color w:val="auto"/>
          <w:sz w:val="20"/>
          <w:szCs w:val="20"/>
        </w:rPr>
        <w:t>Hobbes</w:t>
      </w:r>
      <w:proofErr w:type="gramStart"/>
      <w:r w:rsidRPr="00746C7F">
        <w:rPr>
          <w:rFonts w:cs="Arial"/>
          <w:color w:val="auto"/>
          <w:sz w:val="20"/>
          <w:szCs w:val="20"/>
        </w:rPr>
        <w:t>,</w:t>
      </w:r>
      <w:r w:rsidR="009C659B" w:rsidRPr="00746C7F">
        <w:rPr>
          <w:rFonts w:cs="Arial"/>
          <w:color w:val="auto"/>
          <w:sz w:val="20"/>
          <w:szCs w:val="20"/>
        </w:rPr>
        <w:t>T</w:t>
      </w:r>
      <w:proofErr w:type="spellEnd"/>
      <w:proofErr w:type="gramEnd"/>
      <w:r w:rsidR="009C659B" w:rsidRPr="00746C7F">
        <w:rPr>
          <w:rFonts w:cs="Arial"/>
          <w:color w:val="auto"/>
          <w:sz w:val="20"/>
          <w:szCs w:val="20"/>
        </w:rPr>
        <w:t xml:space="preserve">. (1998). </w:t>
      </w:r>
      <w:proofErr w:type="spellStart"/>
      <w:r w:rsidRPr="00746C7F">
        <w:rPr>
          <w:rFonts w:cs="Arial"/>
          <w:i/>
          <w:color w:val="auto"/>
          <w:sz w:val="20"/>
          <w:szCs w:val="20"/>
        </w:rPr>
        <w:t>Leviatan</w:t>
      </w:r>
      <w:proofErr w:type="spellEnd"/>
      <w:r w:rsidR="009C659B" w:rsidRPr="00746C7F">
        <w:rPr>
          <w:rFonts w:cs="Arial"/>
          <w:color w:val="auto"/>
          <w:sz w:val="20"/>
          <w:szCs w:val="20"/>
        </w:rPr>
        <w:t>. México: Fondo de Cultura Económica, caps. 10-18</w:t>
      </w:r>
    </w:p>
    <w:p w:rsidR="0064631C" w:rsidRPr="00746C7F" w:rsidRDefault="0064631C" w:rsidP="00112FBE">
      <w:pPr>
        <w:spacing w:after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proofErr w:type="spellStart"/>
      <w:r w:rsidRPr="00746C7F">
        <w:rPr>
          <w:rFonts w:cs="Arial"/>
          <w:color w:val="auto"/>
          <w:sz w:val="20"/>
          <w:szCs w:val="20"/>
        </w:rPr>
        <w:t>Rawls</w:t>
      </w:r>
      <w:proofErr w:type="spellEnd"/>
      <w:r w:rsidRPr="00746C7F">
        <w:rPr>
          <w:rFonts w:cs="Arial"/>
          <w:color w:val="auto"/>
          <w:sz w:val="20"/>
          <w:szCs w:val="20"/>
        </w:rPr>
        <w:t>, J</w:t>
      </w:r>
      <w:r w:rsidR="00112FBE" w:rsidRPr="00746C7F">
        <w:rPr>
          <w:rFonts w:cs="Arial"/>
          <w:color w:val="auto"/>
          <w:sz w:val="20"/>
          <w:szCs w:val="20"/>
        </w:rPr>
        <w:t>.</w:t>
      </w:r>
      <w:r w:rsidRPr="00746C7F">
        <w:rPr>
          <w:rFonts w:cs="Arial"/>
          <w:color w:val="auto"/>
          <w:sz w:val="20"/>
          <w:szCs w:val="20"/>
        </w:rPr>
        <w:t xml:space="preserve"> (</w:t>
      </w:r>
      <w:r w:rsidR="009C659B" w:rsidRPr="00746C7F">
        <w:rPr>
          <w:rFonts w:cs="Arial"/>
          <w:color w:val="auto"/>
          <w:sz w:val="20"/>
          <w:szCs w:val="20"/>
        </w:rPr>
        <w:t>2006)</w:t>
      </w:r>
      <w:r w:rsidR="00112FBE" w:rsidRPr="00746C7F">
        <w:rPr>
          <w:rFonts w:cs="Arial"/>
          <w:color w:val="auto"/>
          <w:sz w:val="20"/>
          <w:szCs w:val="20"/>
        </w:rPr>
        <w:t>.</w:t>
      </w:r>
      <w:r w:rsidRPr="00746C7F">
        <w:rPr>
          <w:rFonts w:cs="Arial"/>
          <w:color w:val="auto"/>
          <w:sz w:val="20"/>
          <w:szCs w:val="20"/>
        </w:rPr>
        <w:t xml:space="preserve"> </w:t>
      </w:r>
      <w:r w:rsidRPr="00746C7F">
        <w:rPr>
          <w:rFonts w:cs="Arial"/>
          <w:i/>
          <w:color w:val="auto"/>
          <w:sz w:val="20"/>
          <w:szCs w:val="20"/>
        </w:rPr>
        <w:t>Teoría de justicia</w:t>
      </w:r>
      <w:r w:rsidR="009C659B" w:rsidRPr="00746C7F">
        <w:rPr>
          <w:rFonts w:cs="Arial"/>
          <w:color w:val="auto"/>
          <w:sz w:val="20"/>
          <w:szCs w:val="20"/>
        </w:rPr>
        <w:t>. México: Fondo de Cultura Económica, caps. 2-4, 10</w:t>
      </w:r>
    </w:p>
    <w:p w:rsidR="00A52F0E" w:rsidRPr="00746C7F" w:rsidRDefault="00A52F0E" w:rsidP="00A52F0E">
      <w:pPr>
        <w:spacing w:after="0" w:line="240" w:lineRule="auto"/>
        <w:rPr>
          <w:rFonts w:cs="Arial"/>
          <w:color w:val="auto"/>
          <w:sz w:val="20"/>
          <w:szCs w:val="20"/>
        </w:rPr>
      </w:pPr>
    </w:p>
    <w:p w:rsidR="001B3FCC" w:rsidRPr="00746C7F" w:rsidRDefault="001B3FCC" w:rsidP="001B3FCC">
      <w:pPr>
        <w:spacing w:after="0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secundaria</w:t>
      </w:r>
    </w:p>
    <w:p w:rsidR="009E1AA6" w:rsidRPr="00746C7F" w:rsidRDefault="009E1AA6" w:rsidP="009E1AA6">
      <w:pPr>
        <w:spacing w:after="0" w:line="240" w:lineRule="auto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Dowding</w:t>
      </w:r>
      <w:proofErr w:type="spellEnd"/>
      <w:r w:rsidRPr="00746C7F">
        <w:rPr>
          <w:color w:val="auto"/>
          <w:sz w:val="20"/>
          <w:szCs w:val="20"/>
          <w:lang w:val="en-US"/>
        </w:rPr>
        <w:t>, K. (2001), 'Rational Choice Approaches to Analyzing Power'. En K. Nash, A. Scott (</w:t>
      </w:r>
      <w:proofErr w:type="spellStart"/>
      <w:proofErr w:type="gramStart"/>
      <w:r w:rsidRPr="00746C7F">
        <w:rPr>
          <w:color w:val="auto"/>
          <w:sz w:val="20"/>
          <w:szCs w:val="20"/>
          <w:lang w:val="en-US"/>
        </w:rPr>
        <w:t>eds</w:t>
      </w:r>
      <w:proofErr w:type="spellEnd"/>
      <w:proofErr w:type="gramEnd"/>
      <w:r w:rsidRPr="00746C7F">
        <w:rPr>
          <w:color w:val="auto"/>
          <w:sz w:val="20"/>
          <w:szCs w:val="20"/>
          <w:lang w:val="en-US"/>
        </w:rPr>
        <w:t xml:space="preserve">). </w:t>
      </w:r>
      <w:proofErr w:type="gramStart"/>
      <w:r w:rsidRPr="00746C7F">
        <w:rPr>
          <w:i/>
          <w:iCs w:val="0"/>
          <w:color w:val="auto"/>
          <w:sz w:val="20"/>
          <w:szCs w:val="20"/>
          <w:lang w:val="en-US"/>
        </w:rPr>
        <w:t>The Blackwell Companion to Political Sociology.</w:t>
      </w:r>
      <w:proofErr w:type="gramEnd"/>
      <w:r w:rsidRPr="00746C7F">
        <w:rPr>
          <w:i/>
          <w:iCs w:val="0"/>
          <w:color w:val="auto"/>
          <w:sz w:val="20"/>
          <w:szCs w:val="20"/>
          <w:lang w:val="en-US"/>
        </w:rPr>
        <w:t xml:space="preserve"> </w:t>
      </w:r>
      <w:r w:rsidRPr="00746C7F">
        <w:rPr>
          <w:color w:val="auto"/>
          <w:sz w:val="20"/>
          <w:szCs w:val="20"/>
        </w:rPr>
        <w:t xml:space="preserve">Oxford: </w:t>
      </w:r>
      <w:proofErr w:type="spellStart"/>
      <w:r w:rsidRPr="00746C7F">
        <w:rPr>
          <w:color w:val="auto"/>
          <w:sz w:val="20"/>
          <w:szCs w:val="20"/>
        </w:rPr>
        <w:t>Blackwell</w:t>
      </w:r>
      <w:proofErr w:type="spellEnd"/>
      <w:r w:rsidRPr="00746C7F">
        <w:rPr>
          <w:color w:val="auto"/>
          <w:sz w:val="20"/>
          <w:szCs w:val="20"/>
        </w:rPr>
        <w:t>, pp. 29-39</w:t>
      </w:r>
    </w:p>
    <w:p w:rsidR="00B40393" w:rsidRPr="00746C7F" w:rsidRDefault="00B40393" w:rsidP="00B40393">
      <w:pPr>
        <w:spacing w:after="0"/>
        <w:ind w:left="284" w:hanging="284"/>
        <w:jc w:val="both"/>
        <w:rPr>
          <w:rFonts w:cs="Times New Roman"/>
          <w:color w:val="auto"/>
          <w:sz w:val="20"/>
          <w:szCs w:val="20"/>
        </w:rPr>
      </w:pPr>
      <w:proofErr w:type="spellStart"/>
      <w:r w:rsidRPr="00746C7F">
        <w:rPr>
          <w:rFonts w:cs="Times New Roman"/>
          <w:color w:val="auto"/>
          <w:sz w:val="20"/>
          <w:szCs w:val="20"/>
        </w:rPr>
        <w:t>Gargarella</w:t>
      </w:r>
      <w:proofErr w:type="spellEnd"/>
      <w:r w:rsidRPr="00746C7F">
        <w:rPr>
          <w:rFonts w:cs="Times New Roman"/>
          <w:color w:val="auto"/>
          <w:sz w:val="20"/>
          <w:szCs w:val="20"/>
        </w:rPr>
        <w:t xml:space="preserve">, R. (1999). </w:t>
      </w:r>
      <w:r w:rsidRPr="00746C7F">
        <w:rPr>
          <w:rFonts w:cs="Times New Roman"/>
          <w:i/>
          <w:color w:val="auto"/>
          <w:sz w:val="20"/>
          <w:szCs w:val="20"/>
        </w:rPr>
        <w:t xml:space="preserve">Las teorías de la justicia después de </w:t>
      </w:r>
      <w:proofErr w:type="spellStart"/>
      <w:r w:rsidRPr="00746C7F">
        <w:rPr>
          <w:rFonts w:cs="Times New Roman"/>
          <w:i/>
          <w:color w:val="auto"/>
          <w:sz w:val="20"/>
          <w:szCs w:val="20"/>
        </w:rPr>
        <w:t>Rawls</w:t>
      </w:r>
      <w:proofErr w:type="spellEnd"/>
      <w:r w:rsidRPr="00746C7F">
        <w:rPr>
          <w:rFonts w:cs="Times New Roman"/>
          <w:color w:val="auto"/>
          <w:sz w:val="20"/>
          <w:szCs w:val="20"/>
        </w:rPr>
        <w:t>, Barcelona: Paidós, cap. 1</w:t>
      </w:r>
    </w:p>
    <w:p w:rsidR="00B40393" w:rsidRPr="00746C7F" w:rsidRDefault="00B40393" w:rsidP="00B40393">
      <w:pPr>
        <w:pStyle w:val="Textonotapie"/>
        <w:rPr>
          <w:rFonts w:ascii="Arial Narrow" w:hAnsi="Arial Narrow" w:cs="Arial"/>
        </w:rPr>
      </w:pPr>
      <w:proofErr w:type="spellStart"/>
      <w:r w:rsidRPr="00746C7F">
        <w:rPr>
          <w:rFonts w:ascii="Arial Narrow" w:hAnsi="Arial Narrow" w:cs="Arial"/>
        </w:rPr>
        <w:t>Gauthier</w:t>
      </w:r>
      <w:proofErr w:type="spellEnd"/>
      <w:r w:rsidRPr="00746C7F">
        <w:rPr>
          <w:rFonts w:ascii="Arial Narrow" w:hAnsi="Arial Narrow" w:cs="Arial"/>
        </w:rPr>
        <w:t>, D. (1994)</w:t>
      </w:r>
      <w:r w:rsidRPr="00746C7F">
        <w:rPr>
          <w:rFonts w:ascii="Arial Narrow" w:hAnsi="Arial Narrow" w:cs="Arial"/>
          <w:i/>
          <w:iCs/>
        </w:rPr>
        <w:t>.La moral por acuerdo</w:t>
      </w:r>
      <w:r w:rsidRPr="00746C7F">
        <w:rPr>
          <w:rFonts w:ascii="Arial Narrow" w:hAnsi="Arial Narrow" w:cs="Arial"/>
        </w:rPr>
        <w:t xml:space="preserve">. Barcelona: </w:t>
      </w:r>
      <w:proofErr w:type="spellStart"/>
      <w:r w:rsidRPr="00746C7F">
        <w:rPr>
          <w:rFonts w:ascii="Arial Narrow" w:hAnsi="Arial Narrow" w:cs="Arial"/>
        </w:rPr>
        <w:t>Gedisa</w:t>
      </w:r>
      <w:proofErr w:type="spellEnd"/>
      <w:r w:rsidRPr="00746C7F">
        <w:rPr>
          <w:rFonts w:ascii="Arial Narrow" w:hAnsi="Arial Narrow" w:cs="Arial"/>
        </w:rPr>
        <w:t>, cap. 7.</w:t>
      </w:r>
    </w:p>
    <w:p w:rsidR="00B40393" w:rsidRPr="00746C7F" w:rsidRDefault="00B40393" w:rsidP="00B40393">
      <w:pPr>
        <w:pStyle w:val="Textonotapie"/>
        <w:rPr>
          <w:rFonts w:ascii="Arial Narrow" w:hAnsi="Arial Narrow" w:cs="Arial"/>
          <w:lang w:val="es-AR"/>
        </w:rPr>
      </w:pPr>
      <w:proofErr w:type="spellStart"/>
      <w:r w:rsidRPr="00746C7F">
        <w:rPr>
          <w:rFonts w:ascii="Arial Narrow" w:hAnsi="Arial Narrow" w:cs="Arial"/>
        </w:rPr>
        <w:t>Freeman</w:t>
      </w:r>
      <w:proofErr w:type="spellEnd"/>
      <w:r w:rsidRPr="00746C7F">
        <w:rPr>
          <w:rFonts w:ascii="Arial Narrow" w:hAnsi="Arial Narrow" w:cs="Arial"/>
        </w:rPr>
        <w:t xml:space="preserve">, S. (2007). </w:t>
      </w:r>
      <w:proofErr w:type="spellStart"/>
      <w:r w:rsidRPr="00746C7F">
        <w:rPr>
          <w:rFonts w:ascii="Arial Narrow" w:hAnsi="Arial Narrow" w:cs="Arial"/>
          <w:i/>
          <w:lang w:val="es-AR"/>
        </w:rPr>
        <w:t>Rawls</w:t>
      </w:r>
      <w:proofErr w:type="spellEnd"/>
      <w:r w:rsidRPr="00746C7F">
        <w:rPr>
          <w:rFonts w:ascii="Arial Narrow" w:hAnsi="Arial Narrow" w:cs="Arial"/>
          <w:i/>
          <w:lang w:val="es-AR"/>
        </w:rPr>
        <w:t>,</w:t>
      </w:r>
      <w:r w:rsidRPr="00746C7F">
        <w:rPr>
          <w:rFonts w:ascii="Arial Narrow" w:hAnsi="Arial Narrow" w:cs="Arial"/>
          <w:lang w:val="es-AR"/>
        </w:rPr>
        <w:t xml:space="preserve"> Londres: </w:t>
      </w:r>
      <w:proofErr w:type="spellStart"/>
      <w:r w:rsidRPr="00746C7F">
        <w:rPr>
          <w:rFonts w:ascii="Arial Narrow" w:hAnsi="Arial Narrow" w:cs="Arial"/>
          <w:lang w:val="es-AR"/>
        </w:rPr>
        <w:t>Routledge</w:t>
      </w:r>
      <w:proofErr w:type="spellEnd"/>
      <w:r w:rsidRPr="00746C7F">
        <w:rPr>
          <w:rFonts w:ascii="Arial Narrow" w:hAnsi="Arial Narrow" w:cs="Arial"/>
          <w:lang w:val="es-AR"/>
        </w:rPr>
        <w:t>, cap.7</w:t>
      </w:r>
    </w:p>
    <w:p w:rsidR="00655AE5" w:rsidRPr="00746C7F" w:rsidRDefault="00655AE5" w:rsidP="00655AE5">
      <w:pPr>
        <w:spacing w:after="0"/>
        <w:ind w:left="284" w:hanging="284"/>
        <w:jc w:val="both"/>
        <w:rPr>
          <w:color w:val="auto"/>
          <w:sz w:val="20"/>
          <w:szCs w:val="20"/>
        </w:rPr>
      </w:pPr>
      <w:r w:rsidRPr="00746C7F">
        <w:rPr>
          <w:rFonts w:cs="Arial"/>
          <w:color w:val="auto"/>
          <w:sz w:val="20"/>
          <w:szCs w:val="20"/>
          <w:lang w:val="en-US"/>
        </w:rPr>
        <w:t xml:space="preserve">Morris, P. (2009). </w:t>
      </w:r>
      <w:proofErr w:type="gramStart"/>
      <w:r w:rsidRPr="00746C7F">
        <w:rPr>
          <w:rFonts w:cs="Arial"/>
          <w:color w:val="auto"/>
          <w:sz w:val="20"/>
          <w:szCs w:val="20"/>
          <w:lang w:val="en-US"/>
        </w:rPr>
        <w:t xml:space="preserve">“Liberalism and Power” en M. </w:t>
      </w:r>
      <w:proofErr w:type="spellStart"/>
      <w:r w:rsidRPr="00746C7F">
        <w:rPr>
          <w:color w:val="auto"/>
          <w:sz w:val="20"/>
          <w:szCs w:val="20"/>
          <w:lang w:val="en-US"/>
        </w:rPr>
        <w:t>Haugaard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</w:t>
      </w:r>
      <w:proofErr w:type="spellStart"/>
      <w:r w:rsidRPr="00746C7F">
        <w:rPr>
          <w:color w:val="auto"/>
          <w:sz w:val="20"/>
          <w:szCs w:val="20"/>
          <w:lang w:val="en-US"/>
        </w:rPr>
        <w:t>S.Clegg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(Eds.), </w:t>
      </w:r>
      <w:r w:rsidRPr="00746C7F">
        <w:rPr>
          <w:i/>
          <w:color w:val="auto"/>
          <w:sz w:val="20"/>
          <w:szCs w:val="20"/>
          <w:lang w:val="en-US"/>
        </w:rPr>
        <w:t>The SAGE Handbook of Power</w:t>
      </w:r>
      <w:r w:rsidRPr="00746C7F">
        <w:rPr>
          <w:color w:val="auto"/>
          <w:sz w:val="20"/>
          <w:szCs w:val="20"/>
          <w:lang w:val="en-US"/>
        </w:rPr>
        <w:t>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r w:rsidRPr="00746C7F">
        <w:rPr>
          <w:color w:val="auto"/>
          <w:sz w:val="20"/>
          <w:szCs w:val="20"/>
        </w:rPr>
        <w:t xml:space="preserve">London: </w:t>
      </w:r>
      <w:proofErr w:type="spellStart"/>
      <w:r w:rsidRPr="00746C7F">
        <w:rPr>
          <w:color w:val="auto"/>
          <w:sz w:val="20"/>
          <w:szCs w:val="20"/>
        </w:rPr>
        <w:t>Sage</w:t>
      </w:r>
      <w:proofErr w:type="spellEnd"/>
      <w:r w:rsidRPr="00746C7F">
        <w:rPr>
          <w:color w:val="auto"/>
          <w:sz w:val="20"/>
          <w:szCs w:val="20"/>
        </w:rPr>
        <w:t>, pp. 54-69</w:t>
      </w:r>
    </w:p>
    <w:p w:rsidR="00B40393" w:rsidRPr="00746C7F" w:rsidRDefault="00B40393" w:rsidP="00B40393">
      <w:pPr>
        <w:spacing w:after="0"/>
        <w:ind w:left="284" w:hanging="284"/>
        <w:jc w:val="both"/>
        <w:rPr>
          <w:rFonts w:cs="Times New Roman"/>
          <w:color w:val="auto"/>
          <w:sz w:val="20"/>
          <w:szCs w:val="20"/>
        </w:rPr>
      </w:pPr>
      <w:proofErr w:type="spellStart"/>
      <w:r w:rsidRPr="00746C7F">
        <w:rPr>
          <w:rFonts w:cs="Times New Roman"/>
          <w:color w:val="auto"/>
          <w:sz w:val="20"/>
          <w:szCs w:val="20"/>
        </w:rPr>
        <w:t>Kymlicka</w:t>
      </w:r>
      <w:proofErr w:type="spellEnd"/>
      <w:r w:rsidRPr="00746C7F">
        <w:rPr>
          <w:rFonts w:cs="Times New Roman"/>
          <w:color w:val="auto"/>
          <w:sz w:val="20"/>
          <w:szCs w:val="20"/>
        </w:rPr>
        <w:t xml:space="preserve">, W. (1993). </w:t>
      </w:r>
      <w:r w:rsidRPr="00746C7F">
        <w:rPr>
          <w:rFonts w:cs="Times New Roman"/>
          <w:i/>
          <w:color w:val="auto"/>
          <w:sz w:val="20"/>
          <w:szCs w:val="20"/>
        </w:rPr>
        <w:t>Filosofía política contemporánea</w:t>
      </w:r>
      <w:r w:rsidRPr="00746C7F">
        <w:rPr>
          <w:rFonts w:cs="Times New Roman"/>
          <w:color w:val="auto"/>
          <w:sz w:val="20"/>
          <w:szCs w:val="20"/>
        </w:rPr>
        <w:t>. Barcelona: Ariel cap. 3.</w:t>
      </w:r>
    </w:p>
    <w:p w:rsidR="00B40393" w:rsidRPr="00746C7F" w:rsidRDefault="00B40393" w:rsidP="0036299E">
      <w:pPr>
        <w:spacing w:line="240" w:lineRule="auto"/>
        <w:ind w:left="284" w:hanging="284"/>
        <w:jc w:val="both"/>
        <w:rPr>
          <w:rFonts w:cs="Times New Roman"/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Rodilla, M. (1985). “Buchanan, </w:t>
      </w:r>
      <w:proofErr w:type="spellStart"/>
      <w:r w:rsidRPr="00746C7F">
        <w:rPr>
          <w:color w:val="auto"/>
          <w:sz w:val="20"/>
          <w:szCs w:val="20"/>
        </w:rPr>
        <w:t>Nozick</w:t>
      </w:r>
      <w:proofErr w:type="spellEnd"/>
      <w:r w:rsidRPr="00746C7F">
        <w:rPr>
          <w:color w:val="auto"/>
          <w:sz w:val="20"/>
          <w:szCs w:val="20"/>
        </w:rPr>
        <w:t xml:space="preserve">, </w:t>
      </w:r>
      <w:proofErr w:type="spellStart"/>
      <w:r w:rsidRPr="00746C7F">
        <w:rPr>
          <w:color w:val="auto"/>
          <w:sz w:val="20"/>
          <w:szCs w:val="20"/>
        </w:rPr>
        <w:t>Rawls</w:t>
      </w:r>
      <w:proofErr w:type="spellEnd"/>
      <w:r w:rsidRPr="00746C7F">
        <w:rPr>
          <w:color w:val="auto"/>
          <w:sz w:val="20"/>
          <w:szCs w:val="20"/>
        </w:rPr>
        <w:t xml:space="preserve">: Variaciones sobre el estado de naturaleza”. </w:t>
      </w:r>
      <w:r w:rsidRPr="00746C7F">
        <w:rPr>
          <w:i/>
          <w:color w:val="auto"/>
          <w:sz w:val="20"/>
          <w:szCs w:val="20"/>
        </w:rPr>
        <w:t>Anuario de filosofía del derecho</w:t>
      </w:r>
      <w:r w:rsidRPr="00746C7F">
        <w:rPr>
          <w:color w:val="auto"/>
          <w:sz w:val="20"/>
          <w:szCs w:val="20"/>
        </w:rPr>
        <w:t xml:space="preserve"> 2, pp. 229-284</w:t>
      </w:r>
    </w:p>
    <w:p w:rsidR="0064631C" w:rsidRPr="00746C7F" w:rsidRDefault="0064631C" w:rsidP="006E5999">
      <w:pPr>
        <w:rPr>
          <w:rFonts w:cs="Arial"/>
          <w:b/>
          <w:color w:val="auto"/>
          <w:sz w:val="20"/>
          <w:szCs w:val="20"/>
        </w:rPr>
      </w:pPr>
      <w:r w:rsidRPr="00746C7F">
        <w:rPr>
          <w:rFonts w:cs="Arial"/>
          <w:b/>
          <w:color w:val="auto"/>
          <w:sz w:val="20"/>
          <w:szCs w:val="20"/>
        </w:rPr>
        <w:t>Unidad III - ¿La república como forma de contrarrestar el poder?</w:t>
      </w:r>
    </w:p>
    <w:p w:rsidR="001B3FCC" w:rsidRPr="00746C7F" w:rsidRDefault="001B3FCC" w:rsidP="001B3FCC">
      <w:pPr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lastRenderedPageBreak/>
        <w:t xml:space="preserve">El ideal de no-dominación como valor regulativo del republicanismo. Republicanismo participativo e institucionalista. </w:t>
      </w:r>
      <w:r w:rsidR="000F5BF6" w:rsidRPr="00746C7F">
        <w:rPr>
          <w:color w:val="auto"/>
          <w:sz w:val="20"/>
          <w:szCs w:val="20"/>
        </w:rPr>
        <w:t xml:space="preserve">El poder como la acción conjunta. </w:t>
      </w:r>
      <w:r w:rsidRPr="00746C7F">
        <w:rPr>
          <w:color w:val="auto"/>
          <w:sz w:val="20"/>
          <w:szCs w:val="20"/>
        </w:rPr>
        <w:t>La relación amo-esclavo como metáfora de la dominación. Las instituciones republicanas como garantes de la no-dominación. La participación democrática como garante de la no-dominación.</w:t>
      </w:r>
    </w:p>
    <w:p w:rsidR="00132A18" w:rsidRPr="00746C7F" w:rsidRDefault="00132A18" w:rsidP="00132A18">
      <w:pPr>
        <w:spacing w:after="0"/>
        <w:ind w:left="284" w:hanging="284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obligatoria</w:t>
      </w:r>
    </w:p>
    <w:p w:rsidR="0064631C" w:rsidRPr="00746C7F" w:rsidRDefault="0064631C" w:rsidP="001B3FCC">
      <w:pPr>
        <w:spacing w:after="0" w:line="240" w:lineRule="auto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Arendt</w:t>
      </w:r>
      <w:proofErr w:type="spellEnd"/>
      <w:r w:rsidRPr="00746C7F">
        <w:rPr>
          <w:color w:val="auto"/>
          <w:sz w:val="20"/>
          <w:szCs w:val="20"/>
        </w:rPr>
        <w:t>, H</w:t>
      </w:r>
      <w:r w:rsidR="009C659B" w:rsidRPr="00746C7F">
        <w:rPr>
          <w:color w:val="auto"/>
          <w:sz w:val="20"/>
          <w:szCs w:val="20"/>
        </w:rPr>
        <w:t>.</w:t>
      </w:r>
      <w:r w:rsidRPr="00746C7F">
        <w:rPr>
          <w:color w:val="auto"/>
          <w:sz w:val="20"/>
          <w:szCs w:val="20"/>
        </w:rPr>
        <w:t xml:space="preserve"> (2004) </w:t>
      </w:r>
      <w:r w:rsidRPr="00746C7F">
        <w:rPr>
          <w:i/>
          <w:iCs w:val="0"/>
          <w:color w:val="auto"/>
          <w:sz w:val="20"/>
          <w:szCs w:val="20"/>
        </w:rPr>
        <w:t>Sobre la revolución</w:t>
      </w:r>
      <w:r w:rsidRPr="00746C7F">
        <w:rPr>
          <w:color w:val="auto"/>
          <w:sz w:val="20"/>
          <w:szCs w:val="20"/>
        </w:rPr>
        <w:t>. Madrid: Alianza, pp. 188-245.</w:t>
      </w:r>
    </w:p>
    <w:p w:rsidR="001B3FCC" w:rsidRPr="00746C7F" w:rsidRDefault="001B3FCC" w:rsidP="001B3FCC">
      <w:pPr>
        <w:spacing w:after="0" w:line="240" w:lineRule="auto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Habermas</w:t>
      </w:r>
      <w:proofErr w:type="spellEnd"/>
      <w:r w:rsidRPr="00746C7F">
        <w:rPr>
          <w:color w:val="auto"/>
          <w:sz w:val="20"/>
          <w:szCs w:val="20"/>
        </w:rPr>
        <w:t xml:space="preserve">, J. (1998). </w:t>
      </w:r>
      <w:proofErr w:type="spellStart"/>
      <w:r w:rsidRPr="00746C7F">
        <w:rPr>
          <w:i/>
          <w:color w:val="auto"/>
          <w:sz w:val="20"/>
          <w:szCs w:val="20"/>
        </w:rPr>
        <w:t>Facticidad</w:t>
      </w:r>
      <w:proofErr w:type="spellEnd"/>
      <w:r w:rsidRPr="00746C7F">
        <w:rPr>
          <w:i/>
          <w:color w:val="auto"/>
          <w:sz w:val="20"/>
          <w:szCs w:val="20"/>
        </w:rPr>
        <w:t xml:space="preserve"> y Validez</w:t>
      </w:r>
      <w:r w:rsidRPr="00746C7F">
        <w:rPr>
          <w:color w:val="auto"/>
          <w:sz w:val="20"/>
          <w:szCs w:val="20"/>
        </w:rPr>
        <w:t xml:space="preserve">. Madrid: </w:t>
      </w:r>
      <w:proofErr w:type="spellStart"/>
      <w:r w:rsidRPr="00746C7F">
        <w:rPr>
          <w:color w:val="auto"/>
          <w:sz w:val="20"/>
          <w:szCs w:val="20"/>
        </w:rPr>
        <w:t>Trotta</w:t>
      </w:r>
      <w:proofErr w:type="spellEnd"/>
      <w:r w:rsidRPr="00746C7F">
        <w:rPr>
          <w:color w:val="auto"/>
          <w:sz w:val="20"/>
          <w:szCs w:val="20"/>
        </w:rPr>
        <w:t>, cap. 7, pp. 363-406</w:t>
      </w:r>
    </w:p>
    <w:p w:rsidR="001B3FCC" w:rsidRPr="00746C7F" w:rsidRDefault="001B3FCC" w:rsidP="001B3FCC">
      <w:pPr>
        <w:spacing w:after="0" w:line="240" w:lineRule="auto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Pettit</w:t>
      </w:r>
      <w:proofErr w:type="spellEnd"/>
      <w:r w:rsidRPr="00746C7F">
        <w:rPr>
          <w:color w:val="auto"/>
          <w:sz w:val="20"/>
          <w:szCs w:val="20"/>
        </w:rPr>
        <w:t xml:space="preserve">, P. (1999). </w:t>
      </w:r>
      <w:r w:rsidRPr="00746C7F">
        <w:rPr>
          <w:i/>
          <w:color w:val="auto"/>
          <w:sz w:val="20"/>
          <w:szCs w:val="20"/>
        </w:rPr>
        <w:t>Republicanismo.</w:t>
      </w:r>
      <w:r w:rsidRPr="00746C7F">
        <w:rPr>
          <w:color w:val="auto"/>
          <w:sz w:val="20"/>
          <w:szCs w:val="20"/>
        </w:rPr>
        <w:t xml:space="preserve"> Barcelona: </w:t>
      </w:r>
      <w:proofErr w:type="spellStart"/>
      <w:r w:rsidRPr="00746C7F">
        <w:rPr>
          <w:color w:val="auto"/>
          <w:sz w:val="20"/>
          <w:szCs w:val="20"/>
        </w:rPr>
        <w:t>Paidos</w:t>
      </w:r>
      <w:proofErr w:type="spellEnd"/>
      <w:r w:rsidRPr="00746C7F">
        <w:rPr>
          <w:color w:val="auto"/>
          <w:sz w:val="20"/>
          <w:szCs w:val="20"/>
        </w:rPr>
        <w:t>, caps. 3 y 5</w:t>
      </w:r>
    </w:p>
    <w:p w:rsidR="001B3FCC" w:rsidRPr="00746C7F" w:rsidRDefault="001B3FCC" w:rsidP="001B3FCC">
      <w:pPr>
        <w:spacing w:after="0" w:line="240" w:lineRule="auto"/>
        <w:rPr>
          <w:color w:val="auto"/>
          <w:sz w:val="20"/>
          <w:szCs w:val="20"/>
        </w:rPr>
      </w:pPr>
    </w:p>
    <w:p w:rsidR="001B3FCC" w:rsidRPr="00132A18" w:rsidRDefault="001B3FCC" w:rsidP="001B3FCC">
      <w:pPr>
        <w:spacing w:after="0"/>
        <w:rPr>
          <w:color w:val="auto"/>
          <w:sz w:val="20"/>
          <w:szCs w:val="20"/>
          <w:u w:val="single"/>
        </w:rPr>
      </w:pPr>
      <w:r w:rsidRPr="00132A18">
        <w:rPr>
          <w:color w:val="auto"/>
          <w:sz w:val="20"/>
          <w:szCs w:val="20"/>
          <w:u w:val="single"/>
        </w:rPr>
        <w:t>Bibliografía secundaria</w:t>
      </w:r>
    </w:p>
    <w:p w:rsidR="000B11F4" w:rsidRPr="00746C7F" w:rsidRDefault="000B11F4" w:rsidP="001B3FCC">
      <w:pPr>
        <w:spacing w:after="0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Arendt</w:t>
      </w:r>
      <w:proofErr w:type="spellEnd"/>
      <w:r w:rsidRPr="00746C7F">
        <w:rPr>
          <w:color w:val="auto"/>
          <w:sz w:val="20"/>
          <w:szCs w:val="20"/>
        </w:rPr>
        <w:t xml:space="preserve">, H. (2010). </w:t>
      </w:r>
      <w:r w:rsidRPr="00746C7F">
        <w:rPr>
          <w:i/>
          <w:color w:val="auto"/>
          <w:sz w:val="20"/>
          <w:szCs w:val="20"/>
        </w:rPr>
        <w:t>Los orígenes del totalitarismo.</w:t>
      </w:r>
      <w:r w:rsidRPr="00746C7F">
        <w:rPr>
          <w:color w:val="auto"/>
          <w:sz w:val="20"/>
          <w:szCs w:val="20"/>
        </w:rPr>
        <w:t xml:space="preserve"> Buenos Aires: Alfaguara, pp. 273-416</w:t>
      </w:r>
    </w:p>
    <w:p w:rsidR="000B11F4" w:rsidRPr="00746C7F" w:rsidRDefault="000B11F4" w:rsidP="000B11F4">
      <w:pPr>
        <w:spacing w:after="0" w:line="240" w:lineRule="auto"/>
        <w:ind w:left="284" w:hanging="284"/>
        <w:rPr>
          <w:rFonts w:cs="Times New Roman"/>
          <w:color w:val="auto"/>
          <w:sz w:val="20"/>
          <w:szCs w:val="20"/>
        </w:rPr>
      </w:pPr>
      <w:proofErr w:type="spellStart"/>
      <w:r w:rsidRPr="00746C7F">
        <w:rPr>
          <w:rFonts w:cs="Times New Roman"/>
          <w:color w:val="auto"/>
          <w:sz w:val="20"/>
          <w:szCs w:val="20"/>
        </w:rPr>
        <w:t>Benhabib</w:t>
      </w:r>
      <w:proofErr w:type="spellEnd"/>
      <w:r w:rsidRPr="00746C7F">
        <w:rPr>
          <w:rFonts w:cs="Times New Roman"/>
          <w:color w:val="auto"/>
          <w:sz w:val="20"/>
          <w:szCs w:val="20"/>
        </w:rPr>
        <w:t xml:space="preserve">, S. (2006). </w:t>
      </w:r>
      <w:r w:rsidRPr="00746C7F">
        <w:rPr>
          <w:rFonts w:cs="Times New Roman"/>
          <w:i/>
          <w:color w:val="auto"/>
          <w:sz w:val="20"/>
          <w:szCs w:val="20"/>
        </w:rPr>
        <w:t>El Ser y el Otro en la ética contemporánea</w:t>
      </w:r>
      <w:r w:rsidRPr="00746C7F">
        <w:rPr>
          <w:rFonts w:cs="Times New Roman"/>
          <w:color w:val="auto"/>
          <w:sz w:val="20"/>
          <w:szCs w:val="20"/>
        </w:rPr>
        <w:t xml:space="preserve">. Barcelona: </w:t>
      </w:r>
      <w:proofErr w:type="spellStart"/>
      <w:r w:rsidRPr="00746C7F">
        <w:rPr>
          <w:rFonts w:cs="Times New Roman"/>
          <w:color w:val="auto"/>
          <w:sz w:val="20"/>
          <w:szCs w:val="20"/>
        </w:rPr>
        <w:t>Gedisa</w:t>
      </w:r>
      <w:proofErr w:type="spellEnd"/>
      <w:r w:rsidRPr="00746C7F">
        <w:rPr>
          <w:rFonts w:cs="Times New Roman"/>
          <w:color w:val="auto"/>
          <w:sz w:val="20"/>
          <w:szCs w:val="20"/>
        </w:rPr>
        <w:t>, pp.105-138</w:t>
      </w:r>
    </w:p>
    <w:p w:rsidR="000B11F4" w:rsidRPr="00746C7F" w:rsidRDefault="000B11F4" w:rsidP="000B11F4">
      <w:pPr>
        <w:spacing w:after="0" w:line="240" w:lineRule="auto"/>
        <w:ind w:left="284" w:hanging="284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Brunkhorst</w:t>
      </w:r>
      <w:proofErr w:type="spellEnd"/>
      <w:r w:rsidRPr="00746C7F">
        <w:rPr>
          <w:color w:val="auto"/>
          <w:sz w:val="20"/>
          <w:szCs w:val="20"/>
          <w:lang w:val="en-US"/>
        </w:rPr>
        <w:t>, H. (2000), “Equality and elitism in Arendt”. En D. V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ila (</w:t>
      </w:r>
      <w:proofErr w:type="gramStart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ed</w:t>
      </w:r>
      <w:proofErr w:type="gram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.). </w:t>
      </w:r>
      <w:proofErr w:type="gramStart"/>
      <w:r w:rsidRPr="00746C7F">
        <w:rPr>
          <w:rFonts w:eastAsia="Times New Roman" w:cs="Times New Roman"/>
          <w:i/>
          <w:color w:val="auto"/>
          <w:sz w:val="20"/>
          <w:szCs w:val="20"/>
          <w:lang w:val="en-US" w:eastAsia="es-AR"/>
        </w:rPr>
        <w:t>The Cambridge Companion to Hannah Arendt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.</w:t>
      </w:r>
      <w:proofErr w:type="gram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 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Cambridge: Cambridge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University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Press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, pp. 178-160</w:t>
      </w:r>
    </w:p>
    <w:p w:rsidR="002A6D22" w:rsidRPr="00746C7F" w:rsidRDefault="002A6D22" w:rsidP="000B11F4">
      <w:pPr>
        <w:spacing w:after="0"/>
        <w:ind w:left="284" w:hanging="284"/>
        <w:jc w:val="both"/>
        <w:rPr>
          <w:rFonts w:cs="Times New Roman"/>
          <w:color w:val="auto"/>
          <w:sz w:val="20"/>
          <w:szCs w:val="20"/>
        </w:rPr>
      </w:pPr>
      <w:r w:rsidRPr="00746C7F">
        <w:rPr>
          <w:color w:val="auto"/>
          <w:sz w:val="20"/>
          <w:szCs w:val="20"/>
          <w:lang w:val="en-US"/>
        </w:rPr>
        <w:t>Carter, I. (2008), “</w:t>
      </w:r>
      <w:proofErr w:type="gramStart"/>
      <w:r w:rsidRPr="00746C7F">
        <w:rPr>
          <w:color w:val="auto"/>
          <w:sz w:val="20"/>
          <w:szCs w:val="20"/>
          <w:lang w:val="en-US"/>
        </w:rPr>
        <w:t>How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are Power and </w:t>
      </w:r>
      <w:proofErr w:type="spellStart"/>
      <w:r w:rsidRPr="00746C7F">
        <w:rPr>
          <w:color w:val="auto"/>
          <w:sz w:val="20"/>
          <w:szCs w:val="20"/>
          <w:lang w:val="en-US"/>
        </w:rPr>
        <w:t>Unfreedom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Related?’. </w:t>
      </w:r>
      <w:proofErr w:type="gramStart"/>
      <w:r w:rsidRPr="00746C7F">
        <w:rPr>
          <w:color w:val="auto"/>
          <w:sz w:val="20"/>
          <w:szCs w:val="20"/>
          <w:lang w:val="en-US"/>
        </w:rPr>
        <w:t xml:space="preserve">En C. </w:t>
      </w:r>
      <w:proofErr w:type="spellStart"/>
      <w:r w:rsidRPr="00746C7F">
        <w:rPr>
          <w:color w:val="auto"/>
          <w:sz w:val="20"/>
          <w:szCs w:val="20"/>
          <w:lang w:val="en-US"/>
        </w:rPr>
        <w:t>Laborde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J. </w:t>
      </w:r>
      <w:proofErr w:type="spellStart"/>
      <w:r w:rsidRPr="00746C7F">
        <w:rPr>
          <w:color w:val="auto"/>
          <w:sz w:val="20"/>
          <w:szCs w:val="20"/>
          <w:lang w:val="en-US"/>
        </w:rPr>
        <w:t>Maynor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[</w:t>
      </w:r>
      <w:proofErr w:type="spellStart"/>
      <w:r w:rsidRPr="00746C7F">
        <w:rPr>
          <w:color w:val="auto"/>
          <w:sz w:val="20"/>
          <w:szCs w:val="20"/>
          <w:lang w:val="en-US"/>
        </w:rPr>
        <w:t>Eds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], </w:t>
      </w:r>
      <w:r w:rsidRPr="00746C7F">
        <w:rPr>
          <w:i/>
          <w:color w:val="auto"/>
          <w:sz w:val="20"/>
          <w:szCs w:val="20"/>
          <w:lang w:val="en-US"/>
        </w:rPr>
        <w:t>Republicanism and Political Theory</w:t>
      </w:r>
      <w:r w:rsidRPr="00746C7F">
        <w:rPr>
          <w:color w:val="auto"/>
          <w:sz w:val="20"/>
          <w:szCs w:val="20"/>
          <w:lang w:val="en-US"/>
        </w:rPr>
        <w:t>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r w:rsidRPr="00746C7F">
        <w:rPr>
          <w:color w:val="auto"/>
          <w:sz w:val="20"/>
          <w:szCs w:val="20"/>
        </w:rPr>
        <w:t xml:space="preserve">Oxford: </w:t>
      </w:r>
      <w:proofErr w:type="spellStart"/>
      <w:r w:rsidRPr="00746C7F">
        <w:rPr>
          <w:color w:val="auto"/>
          <w:sz w:val="20"/>
          <w:szCs w:val="20"/>
        </w:rPr>
        <w:t>Blackwell</w:t>
      </w:r>
      <w:proofErr w:type="spellEnd"/>
      <w:r w:rsidRPr="00746C7F">
        <w:rPr>
          <w:color w:val="auto"/>
          <w:sz w:val="20"/>
          <w:szCs w:val="20"/>
        </w:rPr>
        <w:t>, pp. 58-82</w:t>
      </w:r>
    </w:p>
    <w:p w:rsidR="000B11F4" w:rsidRPr="00746C7F" w:rsidRDefault="000B11F4" w:rsidP="000B11F4">
      <w:pPr>
        <w:spacing w:after="0"/>
        <w:ind w:left="284" w:hanging="284"/>
        <w:jc w:val="both"/>
        <w:rPr>
          <w:rFonts w:cs="Times New Roman"/>
          <w:color w:val="auto"/>
          <w:sz w:val="20"/>
          <w:szCs w:val="20"/>
        </w:rPr>
      </w:pPr>
      <w:proofErr w:type="spellStart"/>
      <w:r w:rsidRPr="00746C7F">
        <w:rPr>
          <w:rFonts w:cs="Times New Roman"/>
          <w:color w:val="auto"/>
          <w:sz w:val="20"/>
          <w:szCs w:val="20"/>
        </w:rPr>
        <w:t>Gargarella</w:t>
      </w:r>
      <w:proofErr w:type="spellEnd"/>
      <w:r w:rsidRPr="00746C7F">
        <w:rPr>
          <w:rFonts w:cs="Times New Roman"/>
          <w:color w:val="auto"/>
          <w:sz w:val="20"/>
          <w:szCs w:val="20"/>
        </w:rPr>
        <w:t xml:space="preserve">, R. (1999). </w:t>
      </w:r>
      <w:r w:rsidRPr="00746C7F">
        <w:rPr>
          <w:rFonts w:cs="Times New Roman"/>
          <w:i/>
          <w:color w:val="auto"/>
          <w:sz w:val="20"/>
          <w:szCs w:val="20"/>
        </w:rPr>
        <w:t xml:space="preserve">Las teorías de la justicia después de </w:t>
      </w:r>
      <w:proofErr w:type="spellStart"/>
      <w:r w:rsidRPr="00746C7F">
        <w:rPr>
          <w:rFonts w:cs="Times New Roman"/>
          <w:i/>
          <w:color w:val="auto"/>
          <w:sz w:val="20"/>
          <w:szCs w:val="20"/>
        </w:rPr>
        <w:t>Rawls</w:t>
      </w:r>
      <w:proofErr w:type="spellEnd"/>
      <w:r w:rsidRPr="00746C7F">
        <w:rPr>
          <w:rFonts w:cs="Times New Roman"/>
          <w:color w:val="auto"/>
          <w:sz w:val="20"/>
          <w:szCs w:val="20"/>
        </w:rPr>
        <w:t>, Barcelona: Paidós, cap.6, pp. 161-190</w:t>
      </w:r>
    </w:p>
    <w:p w:rsidR="000B11F4" w:rsidRPr="00746C7F" w:rsidRDefault="000B11F4" w:rsidP="000B11F4">
      <w:pPr>
        <w:spacing w:after="0" w:line="240" w:lineRule="auto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Habermas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, J. (1984). </w:t>
      </w:r>
      <w:r w:rsidRPr="00746C7F">
        <w:rPr>
          <w:rFonts w:eastAsia="Times New Roman" w:cs="Times New Roman"/>
          <w:i/>
          <w:iCs w:val="0"/>
          <w:color w:val="auto"/>
          <w:sz w:val="20"/>
          <w:szCs w:val="20"/>
          <w:lang w:eastAsia="es-AR"/>
        </w:rPr>
        <w:t>Perfiles Filosófico-Políticos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. Madrid: Taurus, cap. 11, pp. 200-223</w:t>
      </w:r>
    </w:p>
    <w:p w:rsidR="000B11F4" w:rsidRPr="00746C7F" w:rsidRDefault="000B11F4" w:rsidP="000B11F4">
      <w:pPr>
        <w:spacing w:after="0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Hilb</w:t>
      </w:r>
      <w:proofErr w:type="spellEnd"/>
      <w:r w:rsidRPr="00746C7F">
        <w:rPr>
          <w:color w:val="auto"/>
          <w:sz w:val="20"/>
          <w:szCs w:val="20"/>
        </w:rPr>
        <w:t xml:space="preserve">, C. (2001). “Violencia y política en la obra de Hannah </w:t>
      </w:r>
      <w:proofErr w:type="spellStart"/>
      <w:r w:rsidRPr="00746C7F">
        <w:rPr>
          <w:color w:val="auto"/>
          <w:sz w:val="20"/>
          <w:szCs w:val="20"/>
        </w:rPr>
        <w:t>Arendt</w:t>
      </w:r>
      <w:proofErr w:type="spellEnd"/>
      <w:r w:rsidRPr="00746C7F">
        <w:rPr>
          <w:color w:val="auto"/>
          <w:sz w:val="20"/>
          <w:szCs w:val="20"/>
        </w:rPr>
        <w:t xml:space="preserve">”. </w:t>
      </w:r>
      <w:r w:rsidRPr="00746C7F">
        <w:rPr>
          <w:i/>
          <w:color w:val="auto"/>
          <w:sz w:val="20"/>
          <w:szCs w:val="20"/>
        </w:rPr>
        <w:t xml:space="preserve">Sociológica </w:t>
      </w:r>
      <w:r w:rsidRPr="00746C7F">
        <w:rPr>
          <w:color w:val="auto"/>
          <w:sz w:val="20"/>
          <w:szCs w:val="20"/>
        </w:rPr>
        <w:t>16 (47), pp. 11-44</w:t>
      </w:r>
    </w:p>
    <w:p w:rsidR="000B11F4" w:rsidRPr="00746C7F" w:rsidRDefault="000B11F4" w:rsidP="000B11F4">
      <w:pPr>
        <w:spacing w:after="0"/>
        <w:rPr>
          <w:color w:val="auto"/>
          <w:sz w:val="20"/>
          <w:szCs w:val="20"/>
          <w:lang w:val="en-US"/>
        </w:rPr>
      </w:pPr>
      <w:proofErr w:type="spellStart"/>
      <w:r w:rsidRPr="00746C7F">
        <w:rPr>
          <w:rFonts w:cs="Times New Roman"/>
          <w:color w:val="auto"/>
          <w:sz w:val="20"/>
          <w:szCs w:val="20"/>
        </w:rPr>
        <w:t>Guariglia</w:t>
      </w:r>
      <w:proofErr w:type="spellEnd"/>
      <w:r w:rsidRPr="00746C7F">
        <w:rPr>
          <w:rFonts w:cs="Times New Roman"/>
          <w:color w:val="auto"/>
          <w:sz w:val="20"/>
          <w:szCs w:val="20"/>
        </w:rPr>
        <w:t>, O. (201</w:t>
      </w:r>
      <w:r w:rsidRPr="00746C7F">
        <w:rPr>
          <w:color w:val="auto"/>
          <w:sz w:val="20"/>
          <w:szCs w:val="20"/>
        </w:rPr>
        <w:t>6</w:t>
      </w:r>
      <w:r w:rsidRPr="00746C7F">
        <w:rPr>
          <w:rFonts w:cs="Times New Roman"/>
          <w:color w:val="auto"/>
          <w:sz w:val="20"/>
          <w:szCs w:val="20"/>
        </w:rPr>
        <w:t xml:space="preserve">). </w:t>
      </w:r>
      <w:r w:rsidRPr="00746C7F">
        <w:rPr>
          <w:i/>
          <w:color w:val="auto"/>
          <w:sz w:val="20"/>
          <w:szCs w:val="20"/>
        </w:rPr>
        <w:t>Democracia, república y oligarquía</w:t>
      </w:r>
      <w:r w:rsidRPr="00746C7F">
        <w:rPr>
          <w:color w:val="auto"/>
          <w:sz w:val="20"/>
          <w:szCs w:val="20"/>
        </w:rPr>
        <w:t xml:space="preserve">. </w:t>
      </w:r>
      <w:r w:rsidRPr="00746C7F">
        <w:rPr>
          <w:color w:val="auto"/>
          <w:sz w:val="20"/>
          <w:szCs w:val="20"/>
          <w:lang w:val="en-US"/>
        </w:rPr>
        <w:t xml:space="preserve">Madrid: </w:t>
      </w:r>
      <w:proofErr w:type="spellStart"/>
      <w:r w:rsidRPr="00746C7F">
        <w:rPr>
          <w:color w:val="auto"/>
          <w:sz w:val="20"/>
          <w:szCs w:val="20"/>
          <w:lang w:val="en-US"/>
        </w:rPr>
        <w:t>Edhasa</w:t>
      </w:r>
      <w:proofErr w:type="spellEnd"/>
    </w:p>
    <w:p w:rsidR="000B11F4" w:rsidRPr="00746C7F" w:rsidRDefault="000B11F4" w:rsidP="000B11F4">
      <w:pPr>
        <w:spacing w:after="0"/>
        <w:rPr>
          <w:color w:val="auto"/>
          <w:sz w:val="20"/>
          <w:szCs w:val="20"/>
          <w:lang w:val="en-US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Maynor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J. (2003). </w:t>
      </w:r>
      <w:proofErr w:type="gramStart"/>
      <w:r w:rsidRPr="00746C7F">
        <w:rPr>
          <w:i/>
          <w:color w:val="auto"/>
          <w:sz w:val="20"/>
          <w:szCs w:val="20"/>
          <w:lang w:val="en-US"/>
        </w:rPr>
        <w:t>Republicanism in the Modern World.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Cambridge: Polity Press, cap.6, pp. 146-173</w:t>
      </w:r>
    </w:p>
    <w:p w:rsidR="000B11F4" w:rsidRPr="00746C7F" w:rsidRDefault="000B11F4" w:rsidP="000B11F4">
      <w:pPr>
        <w:spacing w:after="0" w:line="240" w:lineRule="auto"/>
        <w:ind w:left="284" w:hanging="284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proofErr w:type="spellStart"/>
      <w:proofErr w:type="gramStart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Passerin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d'Entrèves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, M. (1994).</w:t>
      </w:r>
      <w:proofErr w:type="gram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 </w:t>
      </w:r>
      <w:proofErr w:type="gramStart"/>
      <w:r w:rsidRPr="00746C7F">
        <w:rPr>
          <w:rFonts w:eastAsia="Times New Roman" w:cs="Times New Roman"/>
          <w:i/>
          <w:color w:val="auto"/>
          <w:sz w:val="20"/>
          <w:szCs w:val="20"/>
          <w:lang w:val="en-US" w:eastAsia="es-AR"/>
        </w:rPr>
        <w:t>The Political Philosophy of Hannah Arendt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.</w:t>
      </w:r>
      <w:proofErr w:type="gram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 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London: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Routledge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, cap. 2</w:t>
      </w:r>
    </w:p>
    <w:p w:rsidR="00DD2C2E" w:rsidRPr="00746C7F" w:rsidRDefault="00DD2C2E" w:rsidP="000B11F4">
      <w:pPr>
        <w:spacing w:after="0" w:line="240" w:lineRule="auto"/>
        <w:ind w:left="284" w:hanging="284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Shapiro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, I. (2012). “Sobre la no dominación”. </w:t>
      </w:r>
      <w:proofErr w:type="spellStart"/>
      <w:r w:rsidRPr="00746C7F">
        <w:rPr>
          <w:rFonts w:eastAsia="Times New Roman" w:cs="Times New Roman"/>
          <w:i/>
          <w:iCs w:val="0"/>
          <w:color w:val="auto"/>
          <w:sz w:val="20"/>
          <w:szCs w:val="20"/>
          <w:lang w:eastAsia="es-AR"/>
        </w:rPr>
        <w:t>Doxa</w:t>
      </w:r>
      <w:proofErr w:type="spellEnd"/>
      <w:r w:rsidRPr="00746C7F">
        <w:rPr>
          <w:rFonts w:eastAsia="Times New Roman" w:cs="Times New Roman"/>
          <w:i/>
          <w:iCs w:val="0"/>
          <w:color w:val="auto"/>
          <w:sz w:val="20"/>
          <w:szCs w:val="20"/>
          <w:lang w:eastAsia="es-AR"/>
        </w:rPr>
        <w:t xml:space="preserve">. </w:t>
      </w:r>
      <w:r w:rsidRPr="00746C7F">
        <w:rPr>
          <w:i/>
          <w:color w:val="auto"/>
          <w:sz w:val="20"/>
          <w:szCs w:val="20"/>
        </w:rPr>
        <w:t>Cuadernos de Filosofía del Derecho</w:t>
      </w:r>
      <w:r w:rsidRPr="00746C7F">
        <w:rPr>
          <w:color w:val="auto"/>
          <w:sz w:val="20"/>
          <w:szCs w:val="20"/>
        </w:rPr>
        <w:t>, 35, pp. 589-628</w:t>
      </w:r>
    </w:p>
    <w:p w:rsidR="000B11F4" w:rsidRPr="00746C7F" w:rsidRDefault="000B11F4" w:rsidP="000B11F4">
      <w:pPr>
        <w:spacing w:after="0" w:line="240" w:lineRule="auto"/>
        <w:ind w:left="284" w:hanging="284"/>
        <w:rPr>
          <w:color w:val="auto"/>
          <w:sz w:val="20"/>
          <w:szCs w:val="20"/>
        </w:rPr>
      </w:pP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Skinner, Q. (2008). </w:t>
      </w:r>
      <w:proofErr w:type="gramStart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“</w:t>
      </w:r>
      <w:r w:rsidRPr="00746C7F">
        <w:rPr>
          <w:color w:val="auto"/>
          <w:sz w:val="20"/>
          <w:szCs w:val="20"/>
          <w:lang w:val="en-US"/>
        </w:rPr>
        <w:t>Freedom as the Absence of Arbitrary Power”.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En C. </w:t>
      </w:r>
      <w:proofErr w:type="spellStart"/>
      <w:r w:rsidRPr="00746C7F">
        <w:rPr>
          <w:color w:val="auto"/>
          <w:sz w:val="20"/>
          <w:szCs w:val="20"/>
          <w:lang w:val="en-US"/>
        </w:rPr>
        <w:t>Laborde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J. </w:t>
      </w:r>
      <w:proofErr w:type="spellStart"/>
      <w:r w:rsidRPr="00746C7F">
        <w:rPr>
          <w:color w:val="auto"/>
          <w:sz w:val="20"/>
          <w:szCs w:val="20"/>
          <w:lang w:val="en-US"/>
        </w:rPr>
        <w:t>Maynor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(eds.) </w:t>
      </w:r>
      <w:r w:rsidRPr="00746C7F">
        <w:rPr>
          <w:i/>
          <w:color w:val="auto"/>
          <w:sz w:val="20"/>
          <w:szCs w:val="20"/>
          <w:lang w:val="en-US"/>
        </w:rPr>
        <w:t>Republicanism and political theory</w:t>
      </w:r>
      <w:r w:rsidRPr="00746C7F">
        <w:rPr>
          <w:color w:val="auto"/>
          <w:sz w:val="20"/>
          <w:szCs w:val="20"/>
          <w:lang w:val="en-US"/>
        </w:rPr>
        <w:t xml:space="preserve"> (pp. 83-102). </w:t>
      </w:r>
      <w:proofErr w:type="spellStart"/>
      <w:r w:rsidRPr="00746C7F">
        <w:rPr>
          <w:color w:val="auto"/>
          <w:sz w:val="20"/>
          <w:szCs w:val="20"/>
        </w:rPr>
        <w:t>Malden</w:t>
      </w:r>
      <w:proofErr w:type="spellEnd"/>
      <w:r w:rsidRPr="00746C7F">
        <w:rPr>
          <w:color w:val="auto"/>
          <w:sz w:val="20"/>
          <w:szCs w:val="20"/>
        </w:rPr>
        <w:t xml:space="preserve">: </w:t>
      </w:r>
      <w:proofErr w:type="spellStart"/>
      <w:r w:rsidRPr="00746C7F">
        <w:rPr>
          <w:color w:val="auto"/>
          <w:sz w:val="20"/>
          <w:szCs w:val="20"/>
        </w:rPr>
        <w:t>Blackwell</w:t>
      </w:r>
      <w:proofErr w:type="spellEnd"/>
    </w:p>
    <w:p w:rsidR="00DA689D" w:rsidRPr="00746C7F" w:rsidRDefault="00DA689D" w:rsidP="000B11F4">
      <w:pPr>
        <w:spacing w:after="0" w:line="240" w:lineRule="auto"/>
        <w:ind w:left="360"/>
        <w:rPr>
          <w:rFonts w:cs="Times New Roman"/>
          <w:color w:val="auto"/>
          <w:sz w:val="20"/>
          <w:szCs w:val="20"/>
        </w:rPr>
      </w:pPr>
    </w:p>
    <w:p w:rsidR="001B3FCC" w:rsidRPr="00746C7F" w:rsidRDefault="001B3FCC" w:rsidP="008B61EC">
      <w:pPr>
        <w:spacing w:after="0" w:line="240" w:lineRule="auto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</w:p>
    <w:p w:rsidR="00B44C07" w:rsidRPr="00746C7F" w:rsidRDefault="00B44C07" w:rsidP="006E5999">
      <w:pPr>
        <w:rPr>
          <w:b/>
          <w:color w:val="auto"/>
          <w:sz w:val="20"/>
          <w:szCs w:val="20"/>
        </w:rPr>
      </w:pPr>
      <w:r w:rsidRPr="00746C7F">
        <w:rPr>
          <w:b/>
          <w:color w:val="auto"/>
          <w:sz w:val="20"/>
          <w:szCs w:val="20"/>
        </w:rPr>
        <w:t>Unidad IV – El poder como constitución de la realidad social</w:t>
      </w:r>
    </w:p>
    <w:p w:rsidR="001B3FCC" w:rsidRDefault="001B3FCC" w:rsidP="006E5999">
      <w:pPr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>Carácter penetrante del poder.</w:t>
      </w:r>
      <w:r w:rsidR="00CA021A" w:rsidRPr="00746C7F">
        <w:rPr>
          <w:color w:val="auto"/>
          <w:sz w:val="20"/>
          <w:szCs w:val="20"/>
        </w:rPr>
        <w:t xml:space="preserve"> El poder como constituyente de las discusiones acerca del poder y su distribución. El poder como limitante y organizador de oportunidades diferenciales.</w:t>
      </w:r>
      <w:r w:rsidR="006312B6" w:rsidRPr="00746C7F">
        <w:rPr>
          <w:color w:val="auto"/>
          <w:sz w:val="20"/>
          <w:szCs w:val="20"/>
        </w:rPr>
        <w:t xml:space="preserve"> </w:t>
      </w:r>
      <w:r w:rsidR="00CD3389" w:rsidRPr="00746C7F">
        <w:rPr>
          <w:color w:val="auto"/>
          <w:sz w:val="20"/>
          <w:szCs w:val="20"/>
        </w:rPr>
        <w:t>El poder como interacción dinámica que solo se manifiesta en las acciones y en la opresión</w:t>
      </w:r>
      <w:r w:rsidR="006312B6" w:rsidRPr="00746C7F">
        <w:rPr>
          <w:color w:val="auto"/>
          <w:sz w:val="20"/>
          <w:szCs w:val="20"/>
        </w:rPr>
        <w:t xml:space="preserve">. </w:t>
      </w:r>
      <w:r w:rsidR="00803900" w:rsidRPr="00746C7F">
        <w:rPr>
          <w:color w:val="auto"/>
          <w:sz w:val="20"/>
          <w:szCs w:val="20"/>
        </w:rPr>
        <w:t xml:space="preserve">El </w:t>
      </w:r>
      <w:proofErr w:type="spellStart"/>
      <w:r w:rsidR="00803900" w:rsidRPr="00746C7F">
        <w:rPr>
          <w:color w:val="auto"/>
          <w:sz w:val="20"/>
          <w:szCs w:val="20"/>
        </w:rPr>
        <w:t>panoptismo</w:t>
      </w:r>
      <w:proofErr w:type="spellEnd"/>
      <w:r w:rsidR="00803900" w:rsidRPr="00746C7F">
        <w:rPr>
          <w:color w:val="auto"/>
          <w:sz w:val="20"/>
          <w:szCs w:val="20"/>
        </w:rPr>
        <w:t xml:space="preserve"> y el poder como disciplina. </w:t>
      </w:r>
      <w:r w:rsidR="006312B6" w:rsidRPr="00746C7F">
        <w:rPr>
          <w:color w:val="auto"/>
          <w:sz w:val="20"/>
          <w:szCs w:val="20"/>
        </w:rPr>
        <w:t xml:space="preserve">La interiorización del poder en el oprimido. </w:t>
      </w:r>
    </w:p>
    <w:p w:rsidR="00132A18" w:rsidRPr="00746C7F" w:rsidRDefault="00132A18" w:rsidP="00132A18">
      <w:pPr>
        <w:spacing w:after="0"/>
        <w:ind w:left="284" w:hanging="284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obligatoria</w:t>
      </w:r>
    </w:p>
    <w:p w:rsidR="006312B6" w:rsidRPr="00746C7F" w:rsidRDefault="006312B6" w:rsidP="006312B6">
      <w:pPr>
        <w:spacing w:after="0" w:line="240" w:lineRule="auto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Foucault, M. (2002). </w:t>
      </w:r>
      <w:r w:rsidRPr="00746C7F">
        <w:rPr>
          <w:i/>
          <w:color w:val="auto"/>
          <w:sz w:val="20"/>
          <w:szCs w:val="20"/>
        </w:rPr>
        <w:t>Vigilar y Castigar.</w:t>
      </w:r>
      <w:r w:rsidRPr="00746C7F">
        <w:rPr>
          <w:color w:val="auto"/>
          <w:sz w:val="20"/>
          <w:szCs w:val="20"/>
        </w:rPr>
        <w:t xml:space="preserve"> Buenos Aires: Siglo XXI, pp. 199-232</w:t>
      </w:r>
    </w:p>
    <w:p w:rsidR="004C124E" w:rsidRPr="00746C7F" w:rsidRDefault="004C124E" w:rsidP="006312B6">
      <w:pPr>
        <w:spacing w:after="0" w:line="240" w:lineRule="auto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>Foucault, M. (1979), “El Ojo del Poder”</w:t>
      </w:r>
    </w:p>
    <w:p w:rsidR="006312B6" w:rsidRPr="00746C7F" w:rsidRDefault="006312B6" w:rsidP="006312B6">
      <w:pPr>
        <w:spacing w:after="0" w:line="240" w:lineRule="auto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Young, I. (2000). </w:t>
      </w:r>
      <w:r w:rsidRPr="00746C7F">
        <w:rPr>
          <w:i/>
          <w:color w:val="auto"/>
          <w:sz w:val="20"/>
          <w:szCs w:val="20"/>
        </w:rPr>
        <w:t>La justicia y la política de la diferencia</w:t>
      </w:r>
      <w:r w:rsidRPr="00746C7F">
        <w:rPr>
          <w:color w:val="auto"/>
          <w:sz w:val="20"/>
          <w:szCs w:val="20"/>
        </w:rPr>
        <w:t>.</w:t>
      </w:r>
      <w:r w:rsidR="004C0E73" w:rsidRPr="00746C7F">
        <w:rPr>
          <w:color w:val="auto"/>
          <w:sz w:val="20"/>
          <w:szCs w:val="20"/>
        </w:rPr>
        <w:t xml:space="preserve"> </w:t>
      </w:r>
      <w:r w:rsidRPr="00746C7F">
        <w:rPr>
          <w:color w:val="auto"/>
          <w:sz w:val="20"/>
          <w:szCs w:val="20"/>
        </w:rPr>
        <w:t xml:space="preserve"> Madrid: Cátedra. </w:t>
      </w:r>
      <w:proofErr w:type="gramStart"/>
      <w:r w:rsidRPr="00746C7F">
        <w:rPr>
          <w:color w:val="auto"/>
          <w:sz w:val="20"/>
          <w:szCs w:val="20"/>
        </w:rPr>
        <w:t>cap</w:t>
      </w:r>
      <w:proofErr w:type="gramEnd"/>
      <w:r w:rsidRPr="00746C7F">
        <w:rPr>
          <w:color w:val="auto"/>
          <w:sz w:val="20"/>
          <w:szCs w:val="20"/>
        </w:rPr>
        <w:t>. 2, pp. 71-113</w:t>
      </w:r>
    </w:p>
    <w:p w:rsidR="00CD3389" w:rsidRPr="00746C7F" w:rsidRDefault="00CD3389" w:rsidP="006312B6">
      <w:pPr>
        <w:spacing w:after="0" w:line="240" w:lineRule="auto"/>
        <w:rPr>
          <w:color w:val="auto"/>
          <w:sz w:val="20"/>
          <w:szCs w:val="20"/>
        </w:rPr>
      </w:pPr>
    </w:p>
    <w:p w:rsidR="00CD3389" w:rsidRPr="00132A18" w:rsidRDefault="00CD3389" w:rsidP="00CD3389">
      <w:pPr>
        <w:spacing w:after="0"/>
        <w:rPr>
          <w:color w:val="auto"/>
          <w:sz w:val="20"/>
          <w:szCs w:val="20"/>
          <w:u w:val="single"/>
        </w:rPr>
      </w:pPr>
      <w:r w:rsidRPr="00132A18">
        <w:rPr>
          <w:color w:val="auto"/>
          <w:sz w:val="20"/>
          <w:szCs w:val="20"/>
          <w:u w:val="single"/>
        </w:rPr>
        <w:t>Bibliografía secundaria</w:t>
      </w:r>
    </w:p>
    <w:p w:rsidR="00803900" w:rsidRPr="00746C7F" w:rsidRDefault="00803900" w:rsidP="00CD3389">
      <w:pPr>
        <w:spacing w:after="0"/>
        <w:rPr>
          <w:color w:val="auto"/>
          <w:sz w:val="20"/>
          <w:szCs w:val="20"/>
        </w:rPr>
      </w:pPr>
    </w:p>
    <w:p w:rsidR="00DC4B9D" w:rsidRPr="00746C7F" w:rsidRDefault="00DC4B9D" w:rsidP="0036299E">
      <w:pPr>
        <w:spacing w:after="0"/>
        <w:jc w:val="both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Castro, E. (2011) </w:t>
      </w:r>
      <w:r w:rsidRPr="00746C7F">
        <w:rPr>
          <w:i/>
          <w:iCs w:val="0"/>
          <w:color w:val="auto"/>
          <w:sz w:val="20"/>
          <w:szCs w:val="20"/>
        </w:rPr>
        <w:t>Diccionario Foucault</w:t>
      </w:r>
      <w:r w:rsidRPr="00746C7F">
        <w:rPr>
          <w:color w:val="auto"/>
          <w:sz w:val="20"/>
          <w:szCs w:val="20"/>
        </w:rPr>
        <w:t>. Buenos Aires: Siglo XXI.</w:t>
      </w:r>
    </w:p>
    <w:p w:rsidR="0036299E" w:rsidRPr="00746C7F" w:rsidRDefault="0036299E" w:rsidP="00672E42">
      <w:pPr>
        <w:spacing w:after="0" w:line="240" w:lineRule="auto"/>
        <w:ind w:left="142" w:hanging="142"/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</w:pP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Fraser, N. (1989). </w:t>
      </w:r>
      <w:r w:rsidRPr="00746C7F">
        <w:rPr>
          <w:rFonts w:eastAsia="Times New Roman" w:cs="Times New Roman"/>
          <w:i/>
          <w:color w:val="auto"/>
          <w:sz w:val="20"/>
          <w:szCs w:val="20"/>
          <w:lang w:val="en-US" w:eastAsia="es-AR"/>
        </w:rPr>
        <w:t>Unruly Practices: Power, Discourse and Gender in Contemporary Social Theory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, Minneapolis, MN: University of Minnesota </w:t>
      </w:r>
      <w:proofErr w:type="gramStart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Press,</w:t>
      </w:r>
      <w:proofErr w:type="gramEnd"/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 caps. 1-3, pp. 17-68</w:t>
      </w:r>
    </w:p>
    <w:p w:rsidR="00E77082" w:rsidRPr="00746C7F" w:rsidRDefault="00E77082" w:rsidP="0036299E">
      <w:pPr>
        <w:spacing w:after="0" w:line="240" w:lineRule="auto"/>
        <w:jc w:val="both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Habermas</w:t>
      </w:r>
      <w:proofErr w:type="spellEnd"/>
      <w:r w:rsidRPr="00746C7F">
        <w:rPr>
          <w:color w:val="auto"/>
          <w:sz w:val="20"/>
          <w:szCs w:val="20"/>
        </w:rPr>
        <w:t xml:space="preserve">, J. (1993). </w:t>
      </w:r>
      <w:r w:rsidRPr="00746C7F">
        <w:rPr>
          <w:i/>
          <w:color w:val="auto"/>
          <w:sz w:val="20"/>
          <w:szCs w:val="20"/>
        </w:rPr>
        <w:t>El discurso filosófico sobre la modernidad</w:t>
      </w:r>
      <w:r w:rsidRPr="00746C7F">
        <w:rPr>
          <w:color w:val="auto"/>
          <w:sz w:val="20"/>
          <w:szCs w:val="20"/>
        </w:rPr>
        <w:t xml:space="preserve">, Madrid: Taurus. </w:t>
      </w:r>
      <w:proofErr w:type="gramStart"/>
      <w:r w:rsidRPr="00746C7F">
        <w:rPr>
          <w:color w:val="auto"/>
          <w:sz w:val="20"/>
          <w:szCs w:val="20"/>
        </w:rPr>
        <w:t>cap</w:t>
      </w:r>
      <w:proofErr w:type="gramEnd"/>
      <w:r w:rsidRPr="00746C7F">
        <w:rPr>
          <w:color w:val="auto"/>
          <w:sz w:val="20"/>
          <w:szCs w:val="20"/>
        </w:rPr>
        <w:t>. 10, pp. 319-349</w:t>
      </w:r>
    </w:p>
    <w:p w:rsidR="00DC4B9D" w:rsidRPr="00746C7F" w:rsidRDefault="00DC4B9D" w:rsidP="0036299E">
      <w:pPr>
        <w:spacing w:after="0" w:line="240" w:lineRule="auto"/>
        <w:jc w:val="both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Honneth</w:t>
      </w:r>
      <w:proofErr w:type="spellEnd"/>
      <w:r w:rsidRPr="00746C7F">
        <w:rPr>
          <w:color w:val="auto"/>
          <w:sz w:val="20"/>
          <w:szCs w:val="20"/>
        </w:rPr>
        <w:t xml:space="preserve">, A. (2009). </w:t>
      </w:r>
      <w:r w:rsidRPr="00746C7F">
        <w:rPr>
          <w:i/>
          <w:color w:val="auto"/>
          <w:sz w:val="20"/>
          <w:szCs w:val="20"/>
        </w:rPr>
        <w:t>Crítica del poder</w:t>
      </w:r>
      <w:r w:rsidRPr="00746C7F">
        <w:rPr>
          <w:color w:val="auto"/>
          <w:sz w:val="20"/>
          <w:szCs w:val="20"/>
        </w:rPr>
        <w:t>: Madrid: Machado Libros, cap.5</w:t>
      </w:r>
    </w:p>
    <w:p w:rsidR="00803900" w:rsidRPr="00746C7F" w:rsidRDefault="00803900" w:rsidP="00803900">
      <w:pPr>
        <w:spacing w:after="0" w:line="240" w:lineRule="auto"/>
        <w:ind w:left="284" w:hanging="284"/>
        <w:jc w:val="both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Schmidd</w:t>
      </w:r>
      <w:proofErr w:type="spellEnd"/>
      <w:r w:rsidRPr="00746C7F">
        <w:rPr>
          <w:color w:val="auto"/>
          <w:sz w:val="20"/>
          <w:szCs w:val="20"/>
        </w:rPr>
        <w:t>, W. (2002) </w:t>
      </w:r>
      <w:r w:rsidRPr="00746C7F">
        <w:rPr>
          <w:rStyle w:val="nfasis"/>
          <w:color w:val="auto"/>
          <w:sz w:val="20"/>
          <w:szCs w:val="20"/>
        </w:rPr>
        <w:t>En busca de un nuevo arte de vivir. La pregunta por el fundamento y la nueva fundamentación de la ética en Foucault</w:t>
      </w:r>
      <w:r w:rsidRPr="00746C7F">
        <w:rPr>
          <w:color w:val="auto"/>
          <w:sz w:val="20"/>
          <w:szCs w:val="20"/>
        </w:rPr>
        <w:t xml:space="preserve"> Valencia: Pre-Textos, caps.2-3, pp. 43-90</w:t>
      </w:r>
    </w:p>
    <w:p w:rsidR="00E77082" w:rsidRPr="00746C7F" w:rsidRDefault="00E77082" w:rsidP="0036299E">
      <w:pPr>
        <w:spacing w:after="0" w:line="240" w:lineRule="auto"/>
        <w:ind w:left="142" w:hanging="142"/>
        <w:jc w:val="both"/>
        <w:rPr>
          <w:rFonts w:cstheme="minorHAnsi"/>
          <w:color w:val="auto"/>
          <w:sz w:val="20"/>
          <w:szCs w:val="20"/>
          <w:lang w:val="en-GB"/>
        </w:rPr>
      </w:pPr>
      <w:r w:rsidRPr="00746C7F">
        <w:rPr>
          <w:rFonts w:cstheme="minorHAnsi"/>
          <w:color w:val="auto"/>
          <w:sz w:val="20"/>
          <w:szCs w:val="20"/>
          <w:lang w:val="en-GB"/>
        </w:rPr>
        <w:t xml:space="preserve">Young, I. (1999). </w:t>
      </w:r>
      <w:proofErr w:type="gramStart"/>
      <w:r w:rsidRPr="00746C7F">
        <w:rPr>
          <w:rFonts w:cstheme="minorHAnsi"/>
          <w:color w:val="auto"/>
          <w:sz w:val="20"/>
          <w:szCs w:val="20"/>
          <w:lang w:val="en-GB"/>
        </w:rPr>
        <w:t>“Justice, Inclusion and Deliberative Democracy”.</w:t>
      </w:r>
      <w:proofErr w:type="gramEnd"/>
      <w:r w:rsidRPr="00746C7F">
        <w:rPr>
          <w:rFonts w:cstheme="minorHAnsi"/>
          <w:color w:val="auto"/>
          <w:sz w:val="20"/>
          <w:szCs w:val="20"/>
          <w:lang w:val="en-GB"/>
        </w:rPr>
        <w:t xml:space="preserve"> En S. </w:t>
      </w:r>
      <w:proofErr w:type="spellStart"/>
      <w:r w:rsidRPr="00746C7F">
        <w:rPr>
          <w:rFonts w:cstheme="minorHAnsi"/>
          <w:color w:val="auto"/>
          <w:sz w:val="20"/>
          <w:szCs w:val="20"/>
          <w:lang w:val="en-GB"/>
        </w:rPr>
        <w:t>Macedo</w:t>
      </w:r>
      <w:proofErr w:type="spellEnd"/>
      <w:r w:rsidRPr="00746C7F">
        <w:rPr>
          <w:rFonts w:cstheme="minorHAnsi"/>
          <w:color w:val="auto"/>
          <w:sz w:val="20"/>
          <w:szCs w:val="20"/>
          <w:lang w:val="en-GB"/>
        </w:rPr>
        <w:t xml:space="preserve"> (Ed</w:t>
      </w:r>
      <w:r w:rsidRPr="00746C7F">
        <w:rPr>
          <w:rFonts w:cstheme="minorHAnsi"/>
          <w:i/>
          <w:iCs w:val="0"/>
          <w:color w:val="auto"/>
          <w:sz w:val="20"/>
          <w:szCs w:val="20"/>
          <w:lang w:val="en-GB"/>
        </w:rPr>
        <w:t xml:space="preserve">.), Deliberative Politics. </w:t>
      </w:r>
      <w:proofErr w:type="gramStart"/>
      <w:r w:rsidRPr="00746C7F">
        <w:rPr>
          <w:rFonts w:cstheme="minorHAnsi"/>
          <w:i/>
          <w:iCs w:val="0"/>
          <w:color w:val="auto"/>
          <w:sz w:val="20"/>
          <w:szCs w:val="20"/>
          <w:lang w:val="en-GB"/>
        </w:rPr>
        <w:t>Essays on Democracy and Disagreement.</w:t>
      </w:r>
      <w:proofErr w:type="gramEnd"/>
      <w:r w:rsidRPr="00746C7F">
        <w:rPr>
          <w:rFonts w:cstheme="minorHAnsi"/>
          <w:color w:val="auto"/>
          <w:sz w:val="20"/>
          <w:szCs w:val="20"/>
          <w:lang w:val="en-GB"/>
        </w:rPr>
        <w:t xml:space="preserve"> Oxford University Press: New York, pp. 155-69</w:t>
      </w:r>
    </w:p>
    <w:p w:rsidR="00DC4B9D" w:rsidRPr="00746C7F" w:rsidRDefault="00DC4B9D" w:rsidP="00CD3389">
      <w:pPr>
        <w:spacing w:after="0"/>
        <w:rPr>
          <w:color w:val="auto"/>
          <w:sz w:val="20"/>
          <w:szCs w:val="20"/>
          <w:lang w:val="en-US"/>
        </w:rPr>
      </w:pPr>
    </w:p>
    <w:p w:rsidR="000162FF" w:rsidRPr="00746C7F" w:rsidRDefault="000162FF" w:rsidP="006312B6">
      <w:pPr>
        <w:spacing w:after="0"/>
        <w:rPr>
          <w:b/>
          <w:color w:val="auto"/>
          <w:sz w:val="20"/>
          <w:szCs w:val="20"/>
          <w:lang w:val="en-US"/>
        </w:rPr>
      </w:pPr>
      <w:proofErr w:type="spellStart"/>
      <w:r w:rsidRPr="00746C7F">
        <w:rPr>
          <w:b/>
          <w:color w:val="auto"/>
          <w:sz w:val="20"/>
          <w:szCs w:val="20"/>
          <w:lang w:val="en-US"/>
        </w:rPr>
        <w:t>Unidad</w:t>
      </w:r>
      <w:proofErr w:type="spellEnd"/>
      <w:r w:rsidRPr="00746C7F">
        <w:rPr>
          <w:b/>
          <w:color w:val="auto"/>
          <w:sz w:val="20"/>
          <w:szCs w:val="20"/>
          <w:lang w:val="en-US"/>
        </w:rPr>
        <w:t xml:space="preserve"> V – </w:t>
      </w:r>
      <w:proofErr w:type="spellStart"/>
      <w:r w:rsidRPr="00746C7F">
        <w:rPr>
          <w:b/>
          <w:color w:val="auto"/>
          <w:sz w:val="20"/>
          <w:szCs w:val="20"/>
          <w:lang w:val="en-US"/>
        </w:rPr>
        <w:t>Poder</w:t>
      </w:r>
      <w:proofErr w:type="spellEnd"/>
      <w:r w:rsidRPr="00746C7F">
        <w:rPr>
          <w:b/>
          <w:color w:val="auto"/>
          <w:sz w:val="20"/>
          <w:szCs w:val="20"/>
          <w:lang w:val="en-US"/>
        </w:rPr>
        <w:t xml:space="preserve"> y </w:t>
      </w:r>
      <w:proofErr w:type="spellStart"/>
      <w:r w:rsidRPr="00746C7F">
        <w:rPr>
          <w:b/>
          <w:color w:val="auto"/>
          <w:sz w:val="20"/>
          <w:szCs w:val="20"/>
          <w:lang w:val="en-US"/>
        </w:rPr>
        <w:t>feminismo</w:t>
      </w:r>
      <w:proofErr w:type="spellEnd"/>
      <w:r w:rsidRPr="00746C7F">
        <w:rPr>
          <w:b/>
          <w:color w:val="auto"/>
          <w:sz w:val="20"/>
          <w:szCs w:val="20"/>
          <w:lang w:val="en-US"/>
        </w:rPr>
        <w:t xml:space="preserve"> </w:t>
      </w:r>
    </w:p>
    <w:p w:rsidR="002767DD" w:rsidRPr="00746C7F" w:rsidRDefault="002767DD" w:rsidP="00A702BE">
      <w:pPr>
        <w:spacing w:after="0"/>
        <w:jc w:val="both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lastRenderedPageBreak/>
        <w:t>La discusión entre el paradigma distributivo y de reconocimiento y su importancia para la cuestión del poder: ¿redistribución o abolición? Dominación masculina como un poder específico sobre las mujeres. La dominación masculina como realidad sistémica.</w:t>
      </w:r>
      <w:r w:rsidR="005B1F60" w:rsidRPr="00746C7F">
        <w:rPr>
          <w:color w:val="auto"/>
          <w:sz w:val="20"/>
          <w:szCs w:val="20"/>
        </w:rPr>
        <w:t xml:space="preserve"> </w:t>
      </w:r>
      <w:r w:rsidR="008774BE" w:rsidRPr="00746C7F">
        <w:rPr>
          <w:color w:val="auto"/>
          <w:sz w:val="20"/>
          <w:szCs w:val="20"/>
        </w:rPr>
        <w:t xml:space="preserve">La necesidad de dotar de contenido normativo al debate sobre el poder. </w:t>
      </w:r>
      <w:r w:rsidR="005B1F60" w:rsidRPr="00746C7F">
        <w:rPr>
          <w:color w:val="auto"/>
          <w:sz w:val="20"/>
          <w:szCs w:val="20"/>
        </w:rPr>
        <w:t>Patriarcado: entre la sujeción y la resistencia de las mujeres.</w:t>
      </w:r>
      <w:r w:rsidR="00A702BE" w:rsidRPr="00746C7F">
        <w:rPr>
          <w:color w:val="auto"/>
          <w:sz w:val="20"/>
          <w:szCs w:val="20"/>
        </w:rPr>
        <w:t xml:space="preserve"> La sujeción masculina como dominante pero también como garante de existencia.</w:t>
      </w:r>
      <w:r w:rsidR="005B1F60" w:rsidRPr="00746C7F">
        <w:rPr>
          <w:color w:val="auto"/>
          <w:sz w:val="20"/>
          <w:szCs w:val="20"/>
        </w:rPr>
        <w:t xml:space="preserve"> Carácter a-histórico y universal</w:t>
      </w:r>
      <w:r w:rsidR="008774BE" w:rsidRPr="00746C7F">
        <w:rPr>
          <w:color w:val="auto"/>
          <w:sz w:val="20"/>
          <w:szCs w:val="20"/>
        </w:rPr>
        <w:t xml:space="preserve"> del patriarcado. ¿Fluidez de las fronteras de género o esencialismo grupal?</w:t>
      </w:r>
    </w:p>
    <w:p w:rsidR="00A702BE" w:rsidRDefault="00A702BE" w:rsidP="006312B6">
      <w:pPr>
        <w:spacing w:after="0"/>
        <w:rPr>
          <w:b/>
          <w:color w:val="auto"/>
          <w:sz w:val="20"/>
          <w:szCs w:val="20"/>
        </w:rPr>
      </w:pPr>
    </w:p>
    <w:p w:rsidR="00132A18" w:rsidRPr="00746C7F" w:rsidRDefault="00132A18" w:rsidP="00132A18">
      <w:pPr>
        <w:spacing w:after="0"/>
        <w:ind w:left="284" w:hanging="284"/>
        <w:rPr>
          <w:color w:val="auto"/>
          <w:sz w:val="20"/>
          <w:szCs w:val="20"/>
          <w:u w:val="single"/>
        </w:rPr>
      </w:pPr>
      <w:r w:rsidRPr="00746C7F">
        <w:rPr>
          <w:color w:val="auto"/>
          <w:sz w:val="20"/>
          <w:szCs w:val="20"/>
          <w:u w:val="single"/>
        </w:rPr>
        <w:t>Bibliografía obligatoria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Allen, A. (2016).”Emancipación sin utopía: sometimiento, modernidad y las reivindicaciones normativas de la teoría crítica feminista”. </w:t>
      </w:r>
      <w:r w:rsidRPr="00746C7F">
        <w:rPr>
          <w:i/>
          <w:color w:val="auto"/>
          <w:sz w:val="20"/>
          <w:szCs w:val="20"/>
        </w:rPr>
        <w:t>Signos filosóficos</w:t>
      </w:r>
      <w:r w:rsidRPr="00746C7F">
        <w:rPr>
          <w:color w:val="auto"/>
          <w:sz w:val="20"/>
          <w:szCs w:val="20"/>
        </w:rPr>
        <w:t xml:space="preserve"> XVIII (35), pp. 170-196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Benhabib</w:t>
      </w:r>
      <w:proofErr w:type="spellEnd"/>
      <w:r w:rsidRPr="00746C7F">
        <w:rPr>
          <w:color w:val="auto"/>
          <w:sz w:val="20"/>
          <w:szCs w:val="20"/>
        </w:rPr>
        <w:t xml:space="preserve">, S. (2006). </w:t>
      </w:r>
      <w:r w:rsidRPr="00746C7F">
        <w:rPr>
          <w:i/>
          <w:color w:val="auto"/>
          <w:sz w:val="20"/>
          <w:szCs w:val="20"/>
        </w:rPr>
        <w:t>Las reivindicaciones de la cultura. Igualdad y diversidad en la era global.</w:t>
      </w:r>
      <w:r w:rsidRPr="00746C7F">
        <w:rPr>
          <w:color w:val="auto"/>
          <w:sz w:val="20"/>
          <w:szCs w:val="20"/>
        </w:rPr>
        <w:t xml:space="preserve"> Buenos Aires: </w:t>
      </w:r>
      <w:proofErr w:type="spellStart"/>
      <w:r w:rsidRPr="00746C7F">
        <w:rPr>
          <w:color w:val="auto"/>
          <w:sz w:val="20"/>
          <w:szCs w:val="20"/>
        </w:rPr>
        <w:t>Katz</w:t>
      </w:r>
      <w:proofErr w:type="spellEnd"/>
      <w:r w:rsidRPr="00746C7F">
        <w:rPr>
          <w:color w:val="auto"/>
          <w:sz w:val="20"/>
          <w:szCs w:val="20"/>
        </w:rPr>
        <w:t>, cap. 3, pp.95-144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r w:rsidRPr="00746C7F">
        <w:rPr>
          <w:color w:val="auto"/>
          <w:sz w:val="20"/>
          <w:szCs w:val="20"/>
        </w:rPr>
        <w:t xml:space="preserve">Butler, J. (2001). </w:t>
      </w:r>
      <w:r w:rsidRPr="00746C7F">
        <w:rPr>
          <w:i/>
          <w:iCs w:val="0"/>
          <w:color w:val="auto"/>
          <w:sz w:val="20"/>
          <w:szCs w:val="20"/>
        </w:rPr>
        <w:t>Mecanismos psíquicos del poder: Teorías sobre la sujeción</w:t>
      </w:r>
      <w:r w:rsidRPr="00746C7F">
        <w:rPr>
          <w:color w:val="auto"/>
          <w:sz w:val="20"/>
          <w:szCs w:val="20"/>
        </w:rPr>
        <w:t>. Madrid: Anaya, cap. 3, pp. 95-118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Fraser</w:t>
      </w:r>
      <w:proofErr w:type="spellEnd"/>
      <w:r w:rsidRPr="00746C7F">
        <w:rPr>
          <w:color w:val="auto"/>
          <w:sz w:val="20"/>
          <w:szCs w:val="20"/>
        </w:rPr>
        <w:t xml:space="preserve">, N. (1997). </w:t>
      </w:r>
      <w:proofErr w:type="spellStart"/>
      <w:r w:rsidRPr="00746C7F">
        <w:rPr>
          <w:i/>
          <w:color w:val="auto"/>
          <w:sz w:val="20"/>
          <w:szCs w:val="20"/>
        </w:rPr>
        <w:t>Iustitia</w:t>
      </w:r>
      <w:proofErr w:type="spellEnd"/>
      <w:r w:rsidRPr="00746C7F">
        <w:rPr>
          <w:i/>
          <w:color w:val="auto"/>
          <w:sz w:val="20"/>
          <w:szCs w:val="20"/>
        </w:rPr>
        <w:t xml:space="preserve"> </w:t>
      </w:r>
      <w:proofErr w:type="spellStart"/>
      <w:r w:rsidRPr="00746C7F">
        <w:rPr>
          <w:i/>
          <w:color w:val="auto"/>
          <w:sz w:val="20"/>
          <w:szCs w:val="20"/>
        </w:rPr>
        <w:t>Interrupta</w:t>
      </w:r>
      <w:proofErr w:type="spellEnd"/>
      <w:r w:rsidRPr="00746C7F">
        <w:rPr>
          <w:color w:val="auto"/>
          <w:sz w:val="20"/>
          <w:szCs w:val="20"/>
        </w:rPr>
        <w:t>. Bogotá: Siglo del Hombre, cap.1, pp. 17-54</w:t>
      </w:r>
      <w:r w:rsidR="00BB71C7" w:rsidRPr="00746C7F">
        <w:rPr>
          <w:color w:val="auto"/>
          <w:sz w:val="20"/>
          <w:szCs w:val="20"/>
        </w:rPr>
        <w:t>; cap. 10, pp. 295-309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Nussbaum</w:t>
      </w:r>
      <w:proofErr w:type="spellEnd"/>
      <w:r w:rsidRPr="00746C7F">
        <w:rPr>
          <w:color w:val="auto"/>
          <w:sz w:val="20"/>
          <w:szCs w:val="20"/>
        </w:rPr>
        <w:t xml:space="preserve">, M. (2009). </w:t>
      </w:r>
      <w:r w:rsidRPr="00746C7F">
        <w:rPr>
          <w:i/>
          <w:color w:val="auto"/>
          <w:sz w:val="20"/>
          <w:szCs w:val="20"/>
        </w:rPr>
        <w:t>Fronteras de la Justicia</w:t>
      </w:r>
      <w:r w:rsidRPr="00746C7F">
        <w:rPr>
          <w:color w:val="auto"/>
          <w:sz w:val="20"/>
          <w:szCs w:val="20"/>
        </w:rPr>
        <w:t xml:space="preserve">. Barcelona: </w:t>
      </w:r>
      <w:proofErr w:type="spellStart"/>
      <w:r w:rsidRPr="00746C7F">
        <w:rPr>
          <w:color w:val="auto"/>
          <w:sz w:val="20"/>
          <w:szCs w:val="20"/>
        </w:rPr>
        <w:t>Paidos</w:t>
      </w:r>
      <w:proofErr w:type="spellEnd"/>
      <w:r w:rsidRPr="00746C7F">
        <w:rPr>
          <w:color w:val="auto"/>
          <w:sz w:val="20"/>
          <w:szCs w:val="20"/>
        </w:rPr>
        <w:t xml:space="preserve">. </w:t>
      </w:r>
      <w:r w:rsidR="0036299E" w:rsidRPr="00746C7F">
        <w:rPr>
          <w:color w:val="auto"/>
          <w:sz w:val="20"/>
          <w:szCs w:val="20"/>
        </w:rPr>
        <w:t>c</w:t>
      </w:r>
      <w:r w:rsidRPr="00746C7F">
        <w:rPr>
          <w:color w:val="auto"/>
          <w:sz w:val="20"/>
          <w:szCs w:val="20"/>
        </w:rPr>
        <w:t>ap.1, pp.29-81</w:t>
      </w:r>
    </w:p>
    <w:p w:rsidR="00A702BE" w:rsidRPr="00746C7F" w:rsidRDefault="00A702BE" w:rsidP="00BB71C7">
      <w:pPr>
        <w:spacing w:after="0" w:line="240" w:lineRule="auto"/>
        <w:ind w:left="284" w:hanging="284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Pateman</w:t>
      </w:r>
      <w:proofErr w:type="spellEnd"/>
      <w:r w:rsidRPr="00746C7F">
        <w:rPr>
          <w:color w:val="auto"/>
          <w:sz w:val="20"/>
          <w:szCs w:val="20"/>
        </w:rPr>
        <w:t xml:space="preserve">, C. (1995). </w:t>
      </w:r>
      <w:r w:rsidRPr="00746C7F">
        <w:rPr>
          <w:i/>
          <w:color w:val="auto"/>
          <w:sz w:val="20"/>
          <w:szCs w:val="20"/>
        </w:rPr>
        <w:t>El contrato sexual</w:t>
      </w:r>
      <w:r w:rsidRPr="00746C7F">
        <w:rPr>
          <w:color w:val="auto"/>
          <w:sz w:val="20"/>
          <w:szCs w:val="20"/>
        </w:rPr>
        <w:t>, caps. 3 y 6; pp. 58-108 y 214-59</w:t>
      </w:r>
    </w:p>
    <w:p w:rsidR="00803900" w:rsidRPr="00746C7F" w:rsidRDefault="00803900" w:rsidP="00BB71C7">
      <w:pPr>
        <w:spacing w:line="240" w:lineRule="auto"/>
        <w:rPr>
          <w:color w:val="auto"/>
          <w:sz w:val="20"/>
          <w:szCs w:val="20"/>
        </w:rPr>
      </w:pPr>
    </w:p>
    <w:p w:rsidR="00BB71C7" w:rsidRPr="00132A18" w:rsidRDefault="00BB71C7" w:rsidP="00BB71C7">
      <w:pPr>
        <w:spacing w:line="240" w:lineRule="auto"/>
        <w:rPr>
          <w:color w:val="auto"/>
          <w:sz w:val="20"/>
          <w:szCs w:val="20"/>
          <w:u w:val="single"/>
        </w:rPr>
      </w:pPr>
      <w:r w:rsidRPr="00132A18">
        <w:rPr>
          <w:color w:val="auto"/>
          <w:sz w:val="20"/>
          <w:szCs w:val="20"/>
          <w:u w:val="single"/>
        </w:rPr>
        <w:t>Bibliografía secundaria</w:t>
      </w:r>
    </w:p>
    <w:p w:rsidR="00BB71C7" w:rsidRPr="00746C7F" w:rsidRDefault="00BB71C7" w:rsidP="00BB71C7">
      <w:pPr>
        <w:spacing w:after="0" w:line="240" w:lineRule="auto"/>
        <w:rPr>
          <w:rFonts w:cs="Arial"/>
          <w:color w:val="auto"/>
          <w:sz w:val="20"/>
          <w:szCs w:val="20"/>
          <w:lang w:val="en-US"/>
        </w:rPr>
      </w:pPr>
      <w:proofErr w:type="spellStart"/>
      <w:r w:rsidRPr="00746C7F">
        <w:rPr>
          <w:color w:val="auto"/>
          <w:sz w:val="20"/>
          <w:szCs w:val="20"/>
        </w:rPr>
        <w:t>Femenías</w:t>
      </w:r>
      <w:proofErr w:type="spellEnd"/>
      <w:r w:rsidRPr="00746C7F">
        <w:rPr>
          <w:color w:val="auto"/>
          <w:sz w:val="20"/>
          <w:szCs w:val="20"/>
        </w:rPr>
        <w:t xml:space="preserve">, </w:t>
      </w:r>
      <w:proofErr w:type="spellStart"/>
      <w:r w:rsidRPr="00746C7F">
        <w:rPr>
          <w:color w:val="auto"/>
          <w:sz w:val="20"/>
          <w:szCs w:val="20"/>
        </w:rPr>
        <w:t>M.L</w:t>
      </w:r>
      <w:proofErr w:type="gramStart"/>
      <w:r w:rsidRPr="00746C7F">
        <w:rPr>
          <w:color w:val="auto"/>
          <w:sz w:val="20"/>
          <w:szCs w:val="20"/>
        </w:rPr>
        <w:t>.“</w:t>
      </w:r>
      <w:proofErr w:type="gramEnd"/>
      <w:r w:rsidRPr="00746C7F">
        <w:rPr>
          <w:color w:val="auto"/>
          <w:sz w:val="20"/>
          <w:szCs w:val="20"/>
        </w:rPr>
        <w:t>Género</w:t>
      </w:r>
      <w:proofErr w:type="spellEnd"/>
      <w:r w:rsidRPr="00746C7F">
        <w:rPr>
          <w:color w:val="auto"/>
          <w:sz w:val="20"/>
          <w:szCs w:val="20"/>
        </w:rPr>
        <w:t xml:space="preserve"> y feminismo en América Latina”. </w:t>
      </w:r>
      <w:r w:rsidRPr="00746C7F">
        <w:rPr>
          <w:rFonts w:cs="Arial"/>
          <w:i/>
          <w:iCs w:val="0"/>
          <w:color w:val="auto"/>
          <w:sz w:val="20"/>
          <w:szCs w:val="20"/>
          <w:lang w:val="en-US"/>
        </w:rPr>
        <w:t xml:space="preserve">Debate </w:t>
      </w:r>
      <w:proofErr w:type="spellStart"/>
      <w:r w:rsidRPr="00746C7F">
        <w:rPr>
          <w:rFonts w:cs="Arial"/>
          <w:i/>
          <w:iCs w:val="0"/>
          <w:color w:val="auto"/>
          <w:sz w:val="20"/>
          <w:szCs w:val="20"/>
          <w:lang w:val="en-US"/>
        </w:rPr>
        <w:t>Feminista</w:t>
      </w:r>
      <w:proofErr w:type="spellEnd"/>
      <w:r w:rsidRPr="00746C7F">
        <w:rPr>
          <w:rFonts w:cs="Arial"/>
          <w:i/>
          <w:iCs w:val="0"/>
          <w:color w:val="auto"/>
          <w:sz w:val="20"/>
          <w:szCs w:val="20"/>
          <w:lang w:val="en-US"/>
        </w:rPr>
        <w:t xml:space="preserve"> </w:t>
      </w:r>
      <w:r w:rsidRPr="00746C7F">
        <w:rPr>
          <w:rFonts w:cs="Arial"/>
          <w:color w:val="auto"/>
          <w:sz w:val="20"/>
          <w:szCs w:val="20"/>
          <w:lang w:val="en-US"/>
        </w:rPr>
        <w:t>40, pp. 42-74.</w:t>
      </w:r>
    </w:p>
    <w:p w:rsidR="00D46819" w:rsidRPr="00746C7F" w:rsidRDefault="00D46819" w:rsidP="00BB71C7">
      <w:pPr>
        <w:spacing w:after="0" w:line="240" w:lineRule="auto"/>
        <w:rPr>
          <w:color w:val="auto"/>
          <w:sz w:val="20"/>
          <w:szCs w:val="20"/>
          <w:lang w:val="en-US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Forst</w:t>
      </w:r>
      <w:proofErr w:type="spellEnd"/>
      <w:r w:rsidRPr="00746C7F">
        <w:rPr>
          <w:color w:val="auto"/>
          <w:sz w:val="20"/>
          <w:szCs w:val="20"/>
          <w:lang w:val="en-US"/>
        </w:rPr>
        <w:t>, R</w:t>
      </w:r>
      <w:proofErr w:type="gramStart"/>
      <w:r w:rsidRPr="00746C7F">
        <w:rPr>
          <w:color w:val="auto"/>
          <w:sz w:val="20"/>
          <w:szCs w:val="20"/>
          <w:lang w:val="en-US"/>
        </w:rPr>
        <w:t>.</w:t>
      </w:r>
      <w:r w:rsidR="00DD2C2E" w:rsidRPr="00746C7F">
        <w:rPr>
          <w:color w:val="auto"/>
          <w:sz w:val="20"/>
          <w:szCs w:val="20"/>
          <w:lang w:val="en-US"/>
        </w:rPr>
        <w:t>(</w:t>
      </w:r>
      <w:proofErr w:type="gramEnd"/>
      <w:r w:rsidR="00DD2C2E" w:rsidRPr="00746C7F">
        <w:rPr>
          <w:color w:val="auto"/>
          <w:sz w:val="20"/>
          <w:szCs w:val="20"/>
          <w:lang w:val="en-US"/>
        </w:rPr>
        <w:t>2015).</w:t>
      </w:r>
      <w:r w:rsidRPr="00746C7F">
        <w:rPr>
          <w:color w:val="auto"/>
          <w:sz w:val="20"/>
          <w:szCs w:val="20"/>
          <w:lang w:val="en-US"/>
        </w:rPr>
        <w:t xml:space="preserve"> </w:t>
      </w:r>
      <w:proofErr w:type="gramStart"/>
      <w:r w:rsidRPr="00746C7F">
        <w:rPr>
          <w:color w:val="auto"/>
          <w:sz w:val="20"/>
          <w:szCs w:val="20"/>
          <w:lang w:val="en-US"/>
        </w:rPr>
        <w:t>“</w:t>
      </w:r>
      <w:proofErr w:type="spellStart"/>
      <w:r w:rsidRPr="00746C7F">
        <w:rPr>
          <w:color w:val="auto"/>
          <w:sz w:val="20"/>
          <w:szCs w:val="20"/>
          <w:lang w:val="en-US"/>
        </w:rPr>
        <w:t>Noumenal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 Power</w:t>
      </w:r>
      <w:r w:rsidR="00DD2C2E" w:rsidRPr="00746C7F">
        <w:rPr>
          <w:color w:val="auto"/>
          <w:sz w:val="20"/>
          <w:szCs w:val="20"/>
          <w:lang w:val="en-US"/>
        </w:rPr>
        <w:t>”.</w:t>
      </w:r>
      <w:proofErr w:type="gramEnd"/>
      <w:r w:rsidR="00DD2C2E" w:rsidRPr="00746C7F">
        <w:rPr>
          <w:color w:val="auto"/>
          <w:sz w:val="20"/>
          <w:szCs w:val="20"/>
          <w:lang w:val="en-US"/>
        </w:rPr>
        <w:t xml:space="preserve"> </w:t>
      </w:r>
      <w:r w:rsidR="00DD2C2E" w:rsidRPr="00746C7F">
        <w:rPr>
          <w:i/>
          <w:color w:val="auto"/>
          <w:sz w:val="20"/>
          <w:szCs w:val="20"/>
          <w:lang w:val="en-US"/>
        </w:rPr>
        <w:t>Journal of Political Philosophy</w:t>
      </w:r>
      <w:r w:rsidR="00DD2C2E" w:rsidRPr="00746C7F">
        <w:rPr>
          <w:color w:val="auto"/>
          <w:sz w:val="20"/>
          <w:szCs w:val="20"/>
          <w:lang w:val="en-US"/>
        </w:rPr>
        <w:t>, 23, pp. 111-127.</w:t>
      </w:r>
    </w:p>
    <w:p w:rsidR="00BB71C7" w:rsidRPr="002F4751" w:rsidRDefault="00BB71C7" w:rsidP="00BB71C7">
      <w:pPr>
        <w:spacing w:after="0" w:line="240" w:lineRule="auto"/>
        <w:rPr>
          <w:color w:val="auto"/>
          <w:sz w:val="20"/>
          <w:szCs w:val="20"/>
        </w:rPr>
      </w:pPr>
      <w:proofErr w:type="spellStart"/>
      <w:r w:rsidRPr="00746C7F">
        <w:rPr>
          <w:color w:val="auto"/>
          <w:sz w:val="20"/>
          <w:szCs w:val="20"/>
        </w:rPr>
        <w:t>Forst</w:t>
      </w:r>
      <w:proofErr w:type="spellEnd"/>
      <w:r w:rsidRPr="00746C7F">
        <w:rPr>
          <w:color w:val="auto"/>
          <w:sz w:val="20"/>
          <w:szCs w:val="20"/>
        </w:rPr>
        <w:t>, R. (2015</w:t>
      </w:r>
      <w:r w:rsidRPr="00746C7F">
        <w:rPr>
          <w:i/>
          <w:color w:val="auto"/>
          <w:sz w:val="20"/>
          <w:szCs w:val="20"/>
        </w:rPr>
        <w:t>). Justificación y crítica</w:t>
      </w:r>
      <w:r w:rsidRPr="00746C7F">
        <w:rPr>
          <w:color w:val="auto"/>
          <w:sz w:val="20"/>
          <w:szCs w:val="20"/>
        </w:rPr>
        <w:t xml:space="preserve">. </w:t>
      </w:r>
      <w:r w:rsidRPr="002F4751">
        <w:rPr>
          <w:color w:val="auto"/>
          <w:sz w:val="20"/>
          <w:szCs w:val="20"/>
        </w:rPr>
        <w:t xml:space="preserve">Buenos Aires: </w:t>
      </w:r>
      <w:proofErr w:type="spellStart"/>
      <w:r w:rsidRPr="002F4751">
        <w:rPr>
          <w:color w:val="auto"/>
          <w:sz w:val="20"/>
          <w:szCs w:val="20"/>
        </w:rPr>
        <w:t>Katz</w:t>
      </w:r>
      <w:proofErr w:type="spellEnd"/>
      <w:r w:rsidRPr="002F4751">
        <w:rPr>
          <w:color w:val="auto"/>
          <w:sz w:val="20"/>
          <w:szCs w:val="20"/>
        </w:rPr>
        <w:t>, cap. 5, pp. 129-148</w:t>
      </w:r>
    </w:p>
    <w:p w:rsidR="00BB71C7" w:rsidRPr="00746C7F" w:rsidRDefault="00BB71C7" w:rsidP="00BB71C7">
      <w:pPr>
        <w:spacing w:after="0" w:line="240" w:lineRule="auto"/>
        <w:ind w:left="284" w:hanging="284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Fraser, N. (1989</w:t>
      </w:r>
      <w:r w:rsidR="00C60DD3"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>)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. </w:t>
      </w:r>
      <w:r w:rsidRPr="00746C7F">
        <w:rPr>
          <w:rFonts w:eastAsia="Times New Roman" w:cs="Times New Roman"/>
          <w:i/>
          <w:color w:val="auto"/>
          <w:sz w:val="20"/>
          <w:szCs w:val="20"/>
          <w:lang w:val="en-US" w:eastAsia="es-AR"/>
        </w:rPr>
        <w:t>Unruly Practices: Power, Discourse and Gender in Contemporary Social Theory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val="en-US" w:eastAsia="es-AR"/>
        </w:rPr>
        <w:t xml:space="preserve">. </w:t>
      </w:r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Minneapolis, MN: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University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 xml:space="preserve"> of Minnesota </w:t>
      </w:r>
      <w:proofErr w:type="spellStart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Press</w:t>
      </w:r>
      <w:proofErr w:type="spellEnd"/>
      <w:r w:rsidRPr="00746C7F">
        <w:rPr>
          <w:rFonts w:eastAsia="Times New Roman" w:cs="Times New Roman"/>
          <w:iCs w:val="0"/>
          <w:color w:val="auto"/>
          <w:sz w:val="20"/>
          <w:szCs w:val="20"/>
          <w:lang w:eastAsia="es-AR"/>
        </w:rPr>
        <w:t>.</w:t>
      </w:r>
    </w:p>
    <w:p w:rsidR="00C60DD3" w:rsidRPr="002F4751" w:rsidRDefault="00C60DD3" w:rsidP="00BB71C7">
      <w:pPr>
        <w:spacing w:after="0" w:line="240" w:lineRule="auto"/>
        <w:ind w:left="284" w:hanging="284"/>
        <w:rPr>
          <w:rFonts w:eastAsia="Times New Roman" w:cs="Times New Roman"/>
          <w:iCs w:val="0"/>
          <w:color w:val="auto"/>
          <w:sz w:val="20"/>
          <w:szCs w:val="20"/>
          <w:lang w:eastAsia="es-AR"/>
        </w:rPr>
      </w:pPr>
      <w:proofErr w:type="gramStart"/>
      <w:r w:rsidRPr="00746C7F">
        <w:rPr>
          <w:color w:val="auto"/>
          <w:sz w:val="20"/>
          <w:szCs w:val="20"/>
          <w:lang w:val="en-US"/>
        </w:rPr>
        <w:t>Squires, J. (2000).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proofErr w:type="gramStart"/>
      <w:r w:rsidRPr="00746C7F">
        <w:rPr>
          <w:i/>
          <w:iCs w:val="0"/>
          <w:color w:val="auto"/>
          <w:sz w:val="20"/>
          <w:szCs w:val="20"/>
          <w:lang w:val="en-US"/>
        </w:rPr>
        <w:t>Gender in Political Theory</w:t>
      </w:r>
      <w:r w:rsidRPr="00746C7F">
        <w:rPr>
          <w:color w:val="auto"/>
          <w:sz w:val="20"/>
          <w:szCs w:val="20"/>
          <w:lang w:val="en-US"/>
        </w:rPr>
        <w:t>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</w:t>
      </w:r>
      <w:r w:rsidRPr="002F4751">
        <w:rPr>
          <w:color w:val="auto"/>
          <w:sz w:val="20"/>
          <w:szCs w:val="20"/>
        </w:rPr>
        <w:t xml:space="preserve">Londres: </w:t>
      </w:r>
      <w:proofErr w:type="spellStart"/>
      <w:r w:rsidRPr="002F4751">
        <w:rPr>
          <w:color w:val="auto"/>
          <w:sz w:val="20"/>
          <w:szCs w:val="20"/>
        </w:rPr>
        <w:t>Wiley-Blackwell</w:t>
      </w:r>
      <w:proofErr w:type="spellEnd"/>
      <w:r w:rsidRPr="002F4751">
        <w:rPr>
          <w:color w:val="auto"/>
          <w:sz w:val="20"/>
          <w:szCs w:val="20"/>
        </w:rPr>
        <w:t>.</w:t>
      </w:r>
    </w:p>
    <w:p w:rsidR="00BB71C7" w:rsidRPr="00746C7F" w:rsidRDefault="00D43011" w:rsidP="00BB71C7">
      <w:pPr>
        <w:spacing w:after="0" w:line="240" w:lineRule="auto"/>
        <w:rPr>
          <w:color w:val="auto"/>
          <w:sz w:val="20"/>
          <w:szCs w:val="20"/>
        </w:rPr>
      </w:pPr>
      <w:r w:rsidRPr="002F4751">
        <w:rPr>
          <w:iCs w:val="0"/>
          <w:color w:val="auto"/>
          <w:sz w:val="20"/>
          <w:szCs w:val="20"/>
        </w:rPr>
        <w:t>Vázquez</w:t>
      </w:r>
      <w:r w:rsidR="00BB71C7" w:rsidRPr="002F4751">
        <w:rPr>
          <w:iCs w:val="0"/>
          <w:color w:val="auto"/>
          <w:sz w:val="20"/>
          <w:szCs w:val="20"/>
        </w:rPr>
        <w:t>, M</w:t>
      </w:r>
      <w:r w:rsidR="00BB71C7" w:rsidRPr="002F4751">
        <w:rPr>
          <w:i/>
          <w:iCs w:val="0"/>
          <w:color w:val="auto"/>
          <w:sz w:val="20"/>
          <w:szCs w:val="20"/>
        </w:rPr>
        <w:t xml:space="preserve">. (2015). </w:t>
      </w:r>
      <w:r w:rsidR="00BB71C7" w:rsidRPr="00746C7F">
        <w:rPr>
          <w:i/>
          <w:iCs w:val="0"/>
          <w:color w:val="auto"/>
          <w:sz w:val="20"/>
          <w:szCs w:val="20"/>
        </w:rPr>
        <w:t>“</w:t>
      </w:r>
      <w:r w:rsidR="00BB71C7" w:rsidRPr="00746C7F">
        <w:rPr>
          <w:color w:val="auto"/>
          <w:sz w:val="20"/>
          <w:szCs w:val="20"/>
        </w:rPr>
        <w:t xml:space="preserve">Ideas de poder en la teoría feminista”. </w:t>
      </w:r>
      <w:r w:rsidR="00BB71C7" w:rsidRPr="00746C7F">
        <w:rPr>
          <w:i/>
          <w:color w:val="auto"/>
          <w:sz w:val="20"/>
          <w:szCs w:val="20"/>
        </w:rPr>
        <w:t>Revista Española de Ciencia Política</w:t>
      </w:r>
      <w:r w:rsidR="00BB71C7" w:rsidRPr="00746C7F">
        <w:rPr>
          <w:color w:val="auto"/>
          <w:sz w:val="20"/>
          <w:szCs w:val="20"/>
        </w:rPr>
        <w:t xml:space="preserve"> 39, pp. 173-193</w:t>
      </w:r>
    </w:p>
    <w:p w:rsidR="00BB71C7" w:rsidRPr="00746C7F" w:rsidRDefault="00D46819">
      <w:pPr>
        <w:spacing w:line="240" w:lineRule="auto"/>
        <w:rPr>
          <w:color w:val="auto"/>
          <w:sz w:val="20"/>
          <w:szCs w:val="20"/>
          <w:lang w:val="en-US"/>
        </w:rPr>
      </w:pPr>
      <w:proofErr w:type="spellStart"/>
      <w:r w:rsidRPr="00746C7F">
        <w:rPr>
          <w:color w:val="auto"/>
          <w:sz w:val="20"/>
          <w:szCs w:val="20"/>
          <w:lang w:val="en-US"/>
        </w:rPr>
        <w:t>Okin</w:t>
      </w:r>
      <w:proofErr w:type="spellEnd"/>
      <w:r w:rsidRPr="00746C7F">
        <w:rPr>
          <w:color w:val="auto"/>
          <w:sz w:val="20"/>
          <w:szCs w:val="20"/>
          <w:lang w:val="en-US"/>
        </w:rPr>
        <w:t xml:space="preserve">, S. (1991). </w:t>
      </w:r>
      <w:proofErr w:type="gramStart"/>
      <w:r w:rsidRPr="00746C7F">
        <w:rPr>
          <w:i/>
          <w:color w:val="auto"/>
          <w:sz w:val="20"/>
          <w:szCs w:val="20"/>
          <w:lang w:val="en-US"/>
        </w:rPr>
        <w:t>Justice, Gender and the Family</w:t>
      </w:r>
      <w:r w:rsidRPr="00746C7F">
        <w:rPr>
          <w:color w:val="auto"/>
          <w:sz w:val="20"/>
          <w:szCs w:val="20"/>
          <w:lang w:val="en-US"/>
        </w:rPr>
        <w:t>.</w:t>
      </w:r>
      <w:proofErr w:type="gramEnd"/>
      <w:r w:rsidRPr="00746C7F">
        <w:rPr>
          <w:color w:val="auto"/>
          <w:sz w:val="20"/>
          <w:szCs w:val="20"/>
          <w:lang w:val="en-US"/>
        </w:rPr>
        <w:t xml:space="preserve"> New York: Basic Books, cap. 5, pp. 89-109</w:t>
      </w:r>
    </w:p>
    <w:sectPr w:rsidR="00BB71C7" w:rsidRPr="00746C7F" w:rsidSect="00236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738"/>
    <w:multiLevelType w:val="multilevel"/>
    <w:tmpl w:val="E9C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7D35"/>
    <w:rsid w:val="000162FF"/>
    <w:rsid w:val="00030422"/>
    <w:rsid w:val="00045D64"/>
    <w:rsid w:val="000B11F4"/>
    <w:rsid w:val="000C0A95"/>
    <w:rsid w:val="000E638B"/>
    <w:rsid w:val="000F5BF6"/>
    <w:rsid w:val="000F7F37"/>
    <w:rsid w:val="00112FBE"/>
    <w:rsid w:val="00116AE2"/>
    <w:rsid w:val="00132A18"/>
    <w:rsid w:val="001B3FCC"/>
    <w:rsid w:val="001F71EB"/>
    <w:rsid w:val="0021696D"/>
    <w:rsid w:val="00236924"/>
    <w:rsid w:val="002767DD"/>
    <w:rsid w:val="002A6D22"/>
    <w:rsid w:val="002E3074"/>
    <w:rsid w:val="002F4751"/>
    <w:rsid w:val="002F49B6"/>
    <w:rsid w:val="0036299E"/>
    <w:rsid w:val="003A4E0C"/>
    <w:rsid w:val="003D4A0C"/>
    <w:rsid w:val="00432079"/>
    <w:rsid w:val="00455DAD"/>
    <w:rsid w:val="004C0E73"/>
    <w:rsid w:val="004C124E"/>
    <w:rsid w:val="004E70BB"/>
    <w:rsid w:val="00537A7C"/>
    <w:rsid w:val="00561DB4"/>
    <w:rsid w:val="00595C7A"/>
    <w:rsid w:val="005A157F"/>
    <w:rsid w:val="005B1F60"/>
    <w:rsid w:val="005D45CE"/>
    <w:rsid w:val="00614F43"/>
    <w:rsid w:val="006312B6"/>
    <w:rsid w:val="00635905"/>
    <w:rsid w:val="0064631C"/>
    <w:rsid w:val="00655AE5"/>
    <w:rsid w:val="00672E42"/>
    <w:rsid w:val="00690927"/>
    <w:rsid w:val="006E5999"/>
    <w:rsid w:val="00746C7F"/>
    <w:rsid w:val="00803900"/>
    <w:rsid w:val="00847D35"/>
    <w:rsid w:val="008774BE"/>
    <w:rsid w:val="0089582B"/>
    <w:rsid w:val="00896926"/>
    <w:rsid w:val="008B61EC"/>
    <w:rsid w:val="00905B31"/>
    <w:rsid w:val="00983E3C"/>
    <w:rsid w:val="009C659B"/>
    <w:rsid w:val="009E1AA6"/>
    <w:rsid w:val="00A52F0E"/>
    <w:rsid w:val="00A57CFF"/>
    <w:rsid w:val="00A702BE"/>
    <w:rsid w:val="00A76988"/>
    <w:rsid w:val="00B40393"/>
    <w:rsid w:val="00B44C07"/>
    <w:rsid w:val="00BB71C7"/>
    <w:rsid w:val="00BC2F4E"/>
    <w:rsid w:val="00BD0818"/>
    <w:rsid w:val="00BF5E1A"/>
    <w:rsid w:val="00C60DD3"/>
    <w:rsid w:val="00CA021A"/>
    <w:rsid w:val="00CA7ECC"/>
    <w:rsid w:val="00CD3389"/>
    <w:rsid w:val="00CD6C04"/>
    <w:rsid w:val="00D051EB"/>
    <w:rsid w:val="00D23683"/>
    <w:rsid w:val="00D43011"/>
    <w:rsid w:val="00D46819"/>
    <w:rsid w:val="00D82E8E"/>
    <w:rsid w:val="00DA689D"/>
    <w:rsid w:val="00DC4B9D"/>
    <w:rsid w:val="00DD2C2E"/>
    <w:rsid w:val="00E06A5F"/>
    <w:rsid w:val="00E71721"/>
    <w:rsid w:val="00E77082"/>
    <w:rsid w:val="00EA45A6"/>
    <w:rsid w:val="00F811B2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iCs/>
        <w:color w:val="000000" w:themeColor="text1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24"/>
  </w:style>
  <w:style w:type="paragraph" w:styleId="Ttulo1">
    <w:name w:val="heading 1"/>
    <w:basedOn w:val="Normal"/>
    <w:link w:val="Ttulo1Car"/>
    <w:uiPriority w:val="9"/>
    <w:qFormat/>
    <w:rsid w:val="00DA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Cs w:val="0"/>
      <w:color w:val="auto"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614F43"/>
    <w:pPr>
      <w:spacing w:after="0" w:line="240" w:lineRule="auto"/>
    </w:pPr>
    <w:rPr>
      <w:rFonts w:ascii="Times New Roman" w:eastAsia="Times New Roman" w:hAnsi="Times New Roman" w:cs="Times New Roman"/>
      <w:iCs w:val="0"/>
      <w:color w:val="auto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F43"/>
    <w:rPr>
      <w:rFonts w:ascii="Times New Roman" w:eastAsia="Times New Roman" w:hAnsi="Times New Roman" w:cs="Times New Roman"/>
      <w:iCs w:val="0"/>
      <w:color w:val="auto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B4039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40393"/>
    <w:rPr>
      <w:color w:val="0000FF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B40393"/>
  </w:style>
  <w:style w:type="paragraph" w:styleId="Prrafodelista">
    <w:name w:val="List Paragraph"/>
    <w:basedOn w:val="Normal"/>
    <w:uiPriority w:val="34"/>
    <w:qFormat/>
    <w:rsid w:val="008B61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89D"/>
    <w:rPr>
      <w:rFonts w:ascii="Times New Roman" w:eastAsia="Times New Roman" w:hAnsi="Times New Roman" w:cs="Times New Roman"/>
      <w:b/>
      <w:bCs/>
      <w:iCs w:val="0"/>
      <w:color w:val="auto"/>
      <w:kern w:val="36"/>
      <w:sz w:val="48"/>
      <w:szCs w:val="48"/>
      <w:lang w:eastAsia="es-AR"/>
    </w:rPr>
  </w:style>
  <w:style w:type="character" w:styleId="nfasis">
    <w:name w:val="Emphasis"/>
    <w:basedOn w:val="Fuentedeprrafopredeter"/>
    <w:uiPriority w:val="20"/>
    <w:qFormat/>
    <w:rsid w:val="00803900"/>
    <w:rPr>
      <w:i/>
      <w:iCs/>
    </w:rPr>
  </w:style>
  <w:style w:type="character" w:customStyle="1" w:styleId="color12">
    <w:name w:val="color_12"/>
    <w:basedOn w:val="Fuentedeprrafopredeter"/>
    <w:rsid w:val="0080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</dc:creator>
  <cp:lastModifiedBy>Usuario de Windows</cp:lastModifiedBy>
  <cp:revision>24</cp:revision>
  <dcterms:created xsi:type="dcterms:W3CDTF">2018-07-20T22:14:00Z</dcterms:created>
  <dcterms:modified xsi:type="dcterms:W3CDTF">2019-10-11T19:38:00Z</dcterms:modified>
</cp:coreProperties>
</file>